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4AA75" w14:textId="2DB0DB0E" w:rsidR="0049018D" w:rsidRPr="00524A62" w:rsidRDefault="00B9617B" w:rsidP="0042076A">
      <w:pPr>
        <w:rPr>
          <w:color w:val="4BA0AF" w:themeColor="accent1"/>
          <w:sz w:val="48"/>
          <w:szCs w:val="48"/>
          <w:lang w:val="en-US"/>
        </w:rPr>
      </w:pPr>
      <w:bookmarkStart w:id="0" w:name="_Toc189935341"/>
      <w:r w:rsidRPr="00524A62">
        <w:rPr>
          <w:color w:val="4BA0AF" w:themeColor="accent1"/>
          <w:sz w:val="48"/>
          <w:szCs w:val="48"/>
          <w:lang w:val="en-US"/>
        </w:rPr>
        <w:t xml:space="preserve">Climate Policy Atlas V1: </w:t>
      </w:r>
      <w:r w:rsidR="00125A2F" w:rsidRPr="00524A62">
        <w:rPr>
          <w:color w:val="4BA0AF" w:themeColor="accent1"/>
          <w:sz w:val="48"/>
          <w:szCs w:val="48"/>
          <w:lang w:val="en-US"/>
        </w:rPr>
        <w:t>Metad</w:t>
      </w:r>
      <w:r w:rsidR="00B02686" w:rsidRPr="00524A62">
        <w:rPr>
          <w:color w:val="4BA0AF" w:themeColor="accent1"/>
          <w:sz w:val="48"/>
          <w:szCs w:val="48"/>
          <w:lang w:val="en-US"/>
        </w:rPr>
        <w:t xml:space="preserve">ata </w:t>
      </w:r>
      <w:r w:rsidR="0049018D" w:rsidRPr="00524A62">
        <w:rPr>
          <w:color w:val="4BA0AF" w:themeColor="accent1"/>
          <w:sz w:val="48"/>
          <w:szCs w:val="48"/>
          <w:lang w:val="en-US"/>
        </w:rPr>
        <w:t xml:space="preserve">on policy support for renewable electricity </w:t>
      </w:r>
    </w:p>
    <w:p w14:paraId="11105003" w14:textId="177AA6B5" w:rsidR="0016505B" w:rsidRPr="00524A62" w:rsidRDefault="00FB2F45" w:rsidP="0042076A">
      <w:pPr>
        <w:rPr>
          <w:rFonts w:cstheme="minorHAnsi"/>
          <w:lang w:val="en-US"/>
        </w:rPr>
      </w:pPr>
      <w:r w:rsidRPr="00524A62">
        <w:rPr>
          <w:rFonts w:cstheme="minorHAnsi"/>
          <w:lang w:val="en-US"/>
        </w:rPr>
        <w:t>Silvia Weko</w:t>
      </w:r>
      <w:r w:rsidR="0016505B" w:rsidRPr="00524A62">
        <w:rPr>
          <w:rFonts w:cstheme="minorHAnsi"/>
          <w:lang w:val="en-US"/>
        </w:rPr>
        <w:t>ⁱ</w:t>
      </w:r>
      <w:r w:rsidRPr="00524A62">
        <w:rPr>
          <w:rFonts w:cstheme="minorHAnsi"/>
          <w:lang w:val="en-US"/>
        </w:rPr>
        <w:t xml:space="preserve">, </w:t>
      </w:r>
      <w:r w:rsidR="002B6F38" w:rsidRPr="00524A62">
        <w:rPr>
          <w:rFonts w:cstheme="minorHAnsi"/>
          <w:lang w:val="en-US"/>
        </w:rPr>
        <w:t xml:space="preserve">Franziska Boldⁱ, </w:t>
      </w:r>
      <w:r w:rsidR="00BC36F2" w:rsidRPr="00524A62">
        <w:rPr>
          <w:rFonts w:cstheme="minorHAnsi"/>
          <w:lang w:val="en-US"/>
        </w:rPr>
        <w:t xml:space="preserve">Aksornchan Chaianongⁱ, Dogukan Günkördüⁱ, Daria Lebedevaⁱ, </w:t>
      </w:r>
      <w:r w:rsidRPr="00524A62">
        <w:rPr>
          <w:rFonts w:cstheme="minorHAnsi"/>
          <w:lang w:val="en-US"/>
        </w:rPr>
        <w:t>Puru Malhotra</w:t>
      </w:r>
      <w:r w:rsidR="0016505B" w:rsidRPr="00524A62">
        <w:rPr>
          <w:rFonts w:cstheme="minorHAnsi"/>
          <w:lang w:val="en-US"/>
        </w:rPr>
        <w:t>*</w:t>
      </w:r>
      <w:r w:rsidR="00A30258" w:rsidRPr="00524A62">
        <w:rPr>
          <w:rFonts w:cstheme="minorHAnsi"/>
          <w:lang w:val="en-US"/>
        </w:rPr>
        <w:t>ⁱ</w:t>
      </w:r>
      <w:r w:rsidRPr="00524A62">
        <w:rPr>
          <w:rFonts w:cstheme="minorHAnsi"/>
          <w:lang w:val="en-US"/>
        </w:rPr>
        <w:t>, Ioannis Milioritsas</w:t>
      </w:r>
      <w:r w:rsidR="0016505B" w:rsidRPr="00524A62">
        <w:rPr>
          <w:rFonts w:cstheme="minorHAnsi"/>
          <w:lang w:val="en-US"/>
        </w:rPr>
        <w:t>ⁱ</w:t>
      </w:r>
      <w:r w:rsidRPr="00524A62">
        <w:rPr>
          <w:rFonts w:cstheme="minorHAnsi"/>
          <w:lang w:val="en-US"/>
        </w:rPr>
        <w:t>, Johannes Weiß</w:t>
      </w:r>
      <w:r w:rsidR="0016505B" w:rsidRPr="00524A62">
        <w:rPr>
          <w:rFonts w:cstheme="minorHAnsi"/>
          <w:lang w:val="en-US"/>
        </w:rPr>
        <w:t>ⁱ</w:t>
      </w:r>
      <w:r w:rsidRPr="00524A62">
        <w:rPr>
          <w:rFonts w:cstheme="minorHAnsi"/>
          <w:lang w:val="en-US"/>
        </w:rPr>
        <w:t>, and Johan Lilliestam</w:t>
      </w:r>
      <w:r w:rsidR="0016505B" w:rsidRPr="00524A62">
        <w:rPr>
          <w:rFonts w:cstheme="minorHAnsi"/>
          <w:lang w:val="en-US"/>
        </w:rPr>
        <w:t>ⁱ</w:t>
      </w:r>
      <w:r w:rsidRPr="00524A62">
        <w:rPr>
          <w:rFonts w:cstheme="minorHAnsi"/>
          <w:lang w:val="en-US"/>
        </w:rPr>
        <w:t>.</w:t>
      </w:r>
    </w:p>
    <w:p w14:paraId="03272D75" w14:textId="343EA945" w:rsidR="0016505B" w:rsidRPr="00524A62" w:rsidRDefault="0016505B" w:rsidP="0042076A">
      <w:pPr>
        <w:rPr>
          <w:rFonts w:cstheme="minorHAnsi"/>
          <w:lang w:val="en-US"/>
        </w:rPr>
      </w:pPr>
      <w:r w:rsidRPr="00524A62">
        <w:rPr>
          <w:rFonts w:cstheme="minorHAnsi"/>
          <w:lang w:val="en-US"/>
        </w:rPr>
        <w:t xml:space="preserve">ⁱ: </w:t>
      </w:r>
      <w:r w:rsidR="00DB60F1" w:rsidRPr="00524A62">
        <w:rPr>
          <w:rFonts w:cstheme="minorHAnsi"/>
          <w:lang w:val="en-US"/>
        </w:rPr>
        <w:t>FAU Erlangen-Nuremberg</w:t>
      </w:r>
      <w:r w:rsidR="001B5DAE" w:rsidRPr="00524A62">
        <w:rPr>
          <w:rFonts w:cstheme="minorHAnsi"/>
          <w:lang w:val="en-US"/>
        </w:rPr>
        <w:t>,</w:t>
      </w:r>
      <w:r w:rsidR="00DB60F1" w:rsidRPr="00524A62">
        <w:rPr>
          <w:rFonts w:cstheme="minorHAnsi"/>
          <w:lang w:val="en-US"/>
        </w:rPr>
        <w:t xml:space="preserve"> Chair of Sustainability Transition Policy</w:t>
      </w:r>
    </w:p>
    <w:p w14:paraId="0C3B4816" w14:textId="3E3D0362" w:rsidR="00DB60F1" w:rsidRPr="008D4356" w:rsidRDefault="00DB60F1" w:rsidP="0042076A">
      <w:pPr>
        <w:rPr>
          <w:rFonts w:cstheme="minorHAnsi"/>
        </w:rPr>
      </w:pPr>
      <w:r w:rsidRPr="008D4356">
        <w:rPr>
          <w:rFonts w:cstheme="minorHAnsi"/>
        </w:rPr>
        <w:t>*: FAU Erlangen-Nuremberg</w:t>
      </w:r>
      <w:r w:rsidR="001B5DAE" w:rsidRPr="008D4356">
        <w:rPr>
          <w:rFonts w:cstheme="minorHAnsi"/>
        </w:rPr>
        <w:t>,</w:t>
      </w:r>
      <w:r w:rsidRPr="008D4356">
        <w:rPr>
          <w:rFonts w:cstheme="minorHAnsi"/>
        </w:rPr>
        <w:t xml:space="preserve"> Center for Human Rights Erlangen-Nürnberg (FAU CHREN)</w:t>
      </w:r>
    </w:p>
    <w:p w14:paraId="45B79F77" w14:textId="306D8268" w:rsidR="00486574" w:rsidRPr="008D4356" w:rsidRDefault="00486574" w:rsidP="0042076A">
      <w:pPr>
        <w:rPr>
          <w:rFonts w:cstheme="minorHAnsi"/>
        </w:rPr>
      </w:pPr>
    </w:p>
    <w:p w14:paraId="065E932D" w14:textId="77777777" w:rsidR="00486574" w:rsidRPr="00524A62" w:rsidRDefault="00486574" w:rsidP="00486574">
      <w:pPr>
        <w:rPr>
          <w:color w:val="4BA0AF" w:themeColor="accent1"/>
          <w:sz w:val="32"/>
          <w:szCs w:val="32"/>
          <w:lang w:val="en-US"/>
        </w:rPr>
      </w:pPr>
      <w:r w:rsidRPr="00524A62">
        <w:rPr>
          <w:color w:val="4BA0AF" w:themeColor="accent1"/>
          <w:sz w:val="32"/>
          <w:szCs w:val="32"/>
          <w:lang w:val="en-US"/>
        </w:rPr>
        <w:t>Acknowledgements</w:t>
      </w:r>
    </w:p>
    <w:p w14:paraId="7540D23A" w14:textId="77777777" w:rsidR="00486574" w:rsidRPr="00524A62" w:rsidRDefault="00486574" w:rsidP="00486574">
      <w:pPr>
        <w:jc w:val="thaiDistribute"/>
        <w:rPr>
          <w:rFonts w:eastAsia="Times New Roman" w:cstheme="minorHAnsi"/>
          <w:color w:val="000000"/>
          <w:sz w:val="24"/>
          <w:szCs w:val="24"/>
          <w:lang w:val="en-US" w:eastAsia="de-DE"/>
        </w:rPr>
      </w:pPr>
      <w:r w:rsidRPr="00524A62">
        <w:rPr>
          <w:rFonts w:eastAsia="Times New Roman" w:cstheme="minorHAnsi"/>
          <w:color w:val="000000"/>
          <w:sz w:val="24"/>
          <w:szCs w:val="24"/>
          <w:lang w:val="en-US" w:eastAsia="de-DE"/>
        </w:rPr>
        <w:t xml:space="preserve">The authors of this article have used various preparatory works from the NFDI4Energy to create this portrait, and references have been made where possible. Thanks to all those who are not named. </w:t>
      </w:r>
    </w:p>
    <w:p w14:paraId="52CDF3B4" w14:textId="77777777" w:rsidR="00486574" w:rsidRPr="00524A62" w:rsidRDefault="00486574" w:rsidP="00486574">
      <w:pPr>
        <w:jc w:val="thaiDistribute"/>
        <w:rPr>
          <w:rFonts w:cstheme="minorHAnsi"/>
          <w:sz w:val="24"/>
          <w:szCs w:val="24"/>
          <w:lang w:val="en-US"/>
        </w:rPr>
      </w:pPr>
      <w:r w:rsidRPr="00524A62">
        <w:rPr>
          <w:rFonts w:cstheme="minorHAnsi"/>
          <w:sz w:val="24"/>
          <w:szCs w:val="24"/>
          <w:lang w:val="en-US"/>
        </w:rPr>
        <w:t xml:space="preserve">The authors would like to thank the German Federal Government, the German State Governments, and the Joint Science Conference (GWK) for their funding and support as part of the NFDI4Energy consortium. The work was funded by the German Research Foundation (DFG) – 501865131 </w:t>
      </w:r>
      <w:r w:rsidRPr="00524A62">
        <w:rPr>
          <w:sz w:val="24"/>
          <w:szCs w:val="24"/>
          <w:lang w:val="en-US"/>
        </w:rPr>
        <w:t xml:space="preserve">within the German National Research Data Infrastructure (NFDI, </w:t>
      </w:r>
      <w:hyperlink r:id="rId8" w:tooltip="http://www.nfdi.de" w:history="1">
        <w:r w:rsidRPr="00524A62">
          <w:rPr>
            <w:rStyle w:val="Hyperlink"/>
            <w:sz w:val="24"/>
            <w:szCs w:val="24"/>
            <w:lang w:val="en-US"/>
          </w:rPr>
          <w:t>www.nfdi.de</w:t>
        </w:r>
      </w:hyperlink>
      <w:r w:rsidRPr="00524A62">
        <w:rPr>
          <w:sz w:val="24"/>
          <w:szCs w:val="24"/>
          <w:lang w:val="en-US"/>
        </w:rPr>
        <w:t>)</w:t>
      </w:r>
      <w:r w:rsidRPr="00524A62">
        <w:rPr>
          <w:rFonts w:cstheme="minorHAnsi"/>
          <w:sz w:val="24"/>
          <w:szCs w:val="24"/>
          <w:lang w:val="en-US"/>
        </w:rPr>
        <w:t>.</w:t>
      </w:r>
    </w:p>
    <w:p w14:paraId="420B2B50" w14:textId="77777777" w:rsidR="00486574" w:rsidRPr="00524A62" w:rsidRDefault="00486574" w:rsidP="00486574">
      <w:pPr>
        <w:rPr>
          <w:color w:val="4BA0AF" w:themeColor="accent1"/>
          <w:sz w:val="32"/>
          <w:szCs w:val="32"/>
          <w:lang w:val="en-US"/>
        </w:rPr>
      </w:pPr>
      <w:r w:rsidRPr="00524A62">
        <w:rPr>
          <w:color w:val="4BA0AF" w:themeColor="accent1"/>
          <w:sz w:val="32"/>
          <w:szCs w:val="32"/>
          <w:lang w:val="en-US"/>
        </w:rPr>
        <w:t>License</w:t>
      </w:r>
    </w:p>
    <w:p w14:paraId="41897D9F" w14:textId="578B0136" w:rsidR="00486574" w:rsidRPr="00524A62" w:rsidRDefault="00486574" w:rsidP="00486574">
      <w:pPr>
        <w:rPr>
          <w:lang w:val="en-US"/>
        </w:rPr>
      </w:pPr>
      <w:r w:rsidRPr="00524A62">
        <w:rPr>
          <w:noProof/>
          <w:sz w:val="24"/>
          <w:szCs w:val="32"/>
          <w:lang w:val="en-US"/>
        </w:rPr>
        <w:drawing>
          <wp:anchor distT="0" distB="0" distL="114300" distR="114300" simplePos="0" relativeHeight="251659264" behindDoc="0" locked="0" layoutInCell="1" allowOverlap="1" wp14:anchorId="52A50345" wp14:editId="1F7B44FC">
            <wp:simplePos x="0" y="0"/>
            <wp:positionH relativeFrom="column">
              <wp:posOffset>4491355</wp:posOffset>
            </wp:positionH>
            <wp:positionV relativeFrom="paragraph">
              <wp:posOffset>215265</wp:posOffset>
            </wp:positionV>
            <wp:extent cx="1143000" cy="400050"/>
            <wp:effectExtent l="0" t="0" r="0" b="0"/>
            <wp:wrapSquare wrapText="bothSides"/>
            <wp:docPr id="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9">
                      <a:extLst>
                        <a:ext uri="{96DAC541-7B7A-43D3-8B79-37D633B846F1}">
                          <asvg:svgBlip xmlns:asvg="http://schemas.microsoft.com/office/drawing/2016/SVG/main" r:embed="rId10"/>
                        </a:ext>
                      </a:extLst>
                    </a:blip>
                    <a:stretch/>
                  </pic:blipFill>
                  <pic:spPr bwMode="auto">
                    <a:xfrm>
                      <a:off x="0" y="0"/>
                      <a:ext cx="1143000" cy="400050"/>
                    </a:xfrm>
                    <a:prstGeom prst="rect">
                      <a:avLst/>
                    </a:prstGeom>
                  </pic:spPr>
                </pic:pic>
              </a:graphicData>
            </a:graphic>
          </wp:anchor>
        </w:drawing>
      </w:r>
      <w:r w:rsidRPr="00524A62">
        <w:rPr>
          <w:sz w:val="24"/>
          <w:szCs w:val="32"/>
          <w:lang w:val="en-US"/>
        </w:rPr>
        <w:t xml:space="preserve">This document is published under the </w:t>
      </w:r>
      <w:hyperlink r:id="rId11" w:tooltip="https://creativecommons.org/licenses/by/4.0/" w:history="1">
        <w:r w:rsidRPr="00524A62">
          <w:rPr>
            <w:rStyle w:val="Hyperlink"/>
            <w:sz w:val="24"/>
            <w:szCs w:val="32"/>
            <w:lang w:val="en-US"/>
          </w:rPr>
          <w:t>Attribution 4.0 International (CC BY 4.0)</w:t>
        </w:r>
      </w:hyperlink>
      <w:r w:rsidRPr="00524A62">
        <w:rPr>
          <w:sz w:val="24"/>
          <w:szCs w:val="32"/>
          <w:lang w:val="en-US"/>
        </w:rPr>
        <w:t>. This license allows users to distribute, remix, adapt, and build upon the material in any medium or format, so long as attribution is given to the creator. The license allows for commercial use.</w:t>
      </w:r>
      <w:r w:rsidRPr="00524A62">
        <w:rPr>
          <w:lang w:val="en-US"/>
        </w:rPr>
        <w:t xml:space="preserve"> </w:t>
      </w:r>
    </w:p>
    <w:p w14:paraId="321A03D4" w14:textId="6101A9A9" w:rsidR="000578A8" w:rsidRPr="00524A62" w:rsidRDefault="000578A8" w:rsidP="000578A8">
      <w:pPr>
        <w:rPr>
          <w:sz w:val="24"/>
          <w:szCs w:val="32"/>
          <w:lang w:val="en-US"/>
        </w:rPr>
      </w:pPr>
      <w:r w:rsidRPr="00524A62">
        <w:rPr>
          <w:sz w:val="24"/>
          <w:szCs w:val="32"/>
          <w:lang w:val="en-US"/>
        </w:rPr>
        <w:t>Please note that the carbon tax and emissions trading data are via the World Bank Carbon Pricing Dashboard, and must be cited as such for subsequent analyses.</w:t>
      </w:r>
    </w:p>
    <w:p w14:paraId="0ABA67C9" w14:textId="15C6E139" w:rsidR="000578A8" w:rsidRPr="00524A62" w:rsidRDefault="000578A8" w:rsidP="000578A8">
      <w:pPr>
        <w:rPr>
          <w:sz w:val="24"/>
          <w:szCs w:val="32"/>
          <w:lang w:val="en-US"/>
        </w:rPr>
      </w:pPr>
      <w:r w:rsidRPr="00524A62">
        <w:rPr>
          <w:sz w:val="24"/>
          <w:szCs w:val="32"/>
          <w:lang w:val="en-US"/>
        </w:rPr>
        <w:t xml:space="preserve">The data is to the best of our knowledge correct, but we do not assume any responsibility for any remaining data errors or publication mistakes. </w:t>
      </w:r>
    </w:p>
    <w:p w14:paraId="74309204" w14:textId="77777777" w:rsidR="00486574" w:rsidRPr="00524A62" w:rsidRDefault="00486574" w:rsidP="0042076A">
      <w:pPr>
        <w:rPr>
          <w:rFonts w:cstheme="minorHAnsi"/>
          <w:lang w:val="en-US"/>
        </w:rPr>
      </w:pPr>
    </w:p>
    <w:p w14:paraId="5A5CDF8A" w14:textId="77777777" w:rsidR="00FB2F45" w:rsidRPr="00524A62" w:rsidRDefault="00FB2F45" w:rsidP="0042076A">
      <w:pPr>
        <w:rPr>
          <w:rFonts w:cstheme="minorHAnsi"/>
          <w:lang w:val="en-US"/>
        </w:rPr>
      </w:pPr>
    </w:p>
    <w:sdt>
      <w:sdtPr>
        <w:rPr>
          <w:rFonts w:asciiTheme="minorHAnsi" w:eastAsiaTheme="minorHAnsi" w:hAnsiTheme="minorHAnsi" w:cstheme="minorBidi"/>
          <w:color w:val="auto"/>
          <w:sz w:val="22"/>
          <w:szCs w:val="22"/>
          <w:lang w:val="en-US" w:eastAsia="en-US"/>
        </w:rPr>
        <w:id w:val="-1028637026"/>
        <w:docPartObj>
          <w:docPartGallery w:val="Table of Contents"/>
          <w:docPartUnique/>
        </w:docPartObj>
      </w:sdtPr>
      <w:sdtEndPr>
        <w:rPr>
          <w:b/>
          <w:bCs/>
          <w:noProof/>
        </w:rPr>
      </w:sdtEndPr>
      <w:sdtContent>
        <w:p w14:paraId="08F4ECDC" w14:textId="77777777" w:rsidR="00FB2F45" w:rsidRPr="00524A62" w:rsidRDefault="00FB2F45">
          <w:pPr>
            <w:pStyle w:val="TOCHeading"/>
            <w:rPr>
              <w:rFonts w:asciiTheme="minorHAnsi" w:eastAsiaTheme="minorHAnsi" w:hAnsiTheme="minorHAnsi" w:cstheme="minorBidi"/>
              <w:color w:val="auto"/>
              <w:sz w:val="22"/>
              <w:szCs w:val="22"/>
              <w:lang w:val="en-US" w:eastAsia="en-US"/>
            </w:rPr>
          </w:pPr>
        </w:p>
        <w:p w14:paraId="2EC9FACF" w14:textId="77777777" w:rsidR="00FB2F45" w:rsidRPr="00524A62" w:rsidRDefault="00FB2F45">
          <w:pPr>
            <w:rPr>
              <w:lang w:val="en-US"/>
            </w:rPr>
          </w:pPr>
          <w:r w:rsidRPr="00524A62">
            <w:rPr>
              <w:lang w:val="en-US"/>
            </w:rPr>
            <w:br w:type="page"/>
          </w:r>
        </w:p>
        <w:p w14:paraId="66E57FFA" w14:textId="372F5B2F" w:rsidR="00142C41" w:rsidRPr="00524A62" w:rsidRDefault="00142C41">
          <w:pPr>
            <w:pStyle w:val="TOCHeading"/>
            <w:rPr>
              <w:lang w:val="en-US"/>
            </w:rPr>
          </w:pPr>
          <w:r w:rsidRPr="00524A62">
            <w:rPr>
              <w:lang w:val="en-US"/>
            </w:rPr>
            <w:lastRenderedPageBreak/>
            <w:t>Contents</w:t>
          </w:r>
        </w:p>
        <w:p w14:paraId="57624BD9" w14:textId="6B9D0979" w:rsidR="00F00BED" w:rsidRPr="00524A62" w:rsidRDefault="00142C41">
          <w:pPr>
            <w:pStyle w:val="TOC1"/>
            <w:tabs>
              <w:tab w:val="right" w:leader="dot" w:pos="9062"/>
            </w:tabs>
            <w:rPr>
              <w:rFonts w:eastAsiaTheme="minorEastAsia"/>
              <w:noProof/>
              <w:lang w:val="en-US"/>
            </w:rPr>
          </w:pPr>
          <w:r w:rsidRPr="00524A62">
            <w:rPr>
              <w:lang w:val="en-US"/>
            </w:rPr>
            <w:fldChar w:fldCharType="begin"/>
          </w:r>
          <w:r w:rsidRPr="00524A62">
            <w:rPr>
              <w:lang w:val="en-US"/>
            </w:rPr>
            <w:instrText xml:space="preserve"> TOC \o "1-3" \h \z \u </w:instrText>
          </w:r>
          <w:r w:rsidRPr="00524A62">
            <w:rPr>
              <w:lang w:val="en-US"/>
            </w:rPr>
            <w:fldChar w:fldCharType="separate"/>
          </w:r>
          <w:hyperlink w:anchor="_Toc219972858" w:history="1">
            <w:r w:rsidR="00F00BED" w:rsidRPr="00524A62">
              <w:rPr>
                <w:rStyle w:val="Hyperlink"/>
                <w:noProof/>
                <w:lang w:val="en-US"/>
              </w:rPr>
              <w:t>General information</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_Toc219972858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2</w:t>
            </w:r>
            <w:r w:rsidR="00F00BED" w:rsidRPr="00524A62">
              <w:rPr>
                <w:noProof/>
                <w:webHidden/>
                <w:lang w:val="en-US"/>
              </w:rPr>
              <w:fldChar w:fldCharType="end"/>
            </w:r>
          </w:hyperlink>
        </w:p>
        <w:p w14:paraId="7104B74B" w14:textId="2ACC58C5" w:rsidR="00F00BED" w:rsidRPr="00524A62" w:rsidRDefault="00345883">
          <w:pPr>
            <w:pStyle w:val="TOC1"/>
            <w:tabs>
              <w:tab w:val="right" w:leader="dot" w:pos="9062"/>
            </w:tabs>
            <w:rPr>
              <w:rFonts w:eastAsiaTheme="minorEastAsia"/>
              <w:noProof/>
              <w:lang w:val="en-US"/>
            </w:rPr>
          </w:pPr>
          <w:hyperlink w:anchor="_Toc219972859" w:history="1">
            <w:r w:rsidR="00F00BED" w:rsidRPr="00524A62">
              <w:rPr>
                <w:rStyle w:val="Hyperlink"/>
                <w:noProof/>
                <w:lang w:val="en-US"/>
              </w:rPr>
              <w:t>About the data</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_Toc219972859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2</w:t>
            </w:r>
            <w:r w:rsidR="00F00BED" w:rsidRPr="00524A62">
              <w:rPr>
                <w:noProof/>
                <w:webHidden/>
                <w:lang w:val="en-US"/>
              </w:rPr>
              <w:fldChar w:fldCharType="end"/>
            </w:r>
          </w:hyperlink>
        </w:p>
        <w:p w14:paraId="5CF8B4ED" w14:textId="0DDA0333" w:rsidR="00F00BED" w:rsidRPr="00524A62" w:rsidRDefault="00345883">
          <w:pPr>
            <w:pStyle w:val="TOC2"/>
            <w:tabs>
              <w:tab w:val="right" w:leader="dot" w:pos="9062"/>
            </w:tabs>
            <w:rPr>
              <w:rFonts w:eastAsiaTheme="minorEastAsia"/>
              <w:noProof/>
              <w:lang w:val="en-US"/>
            </w:rPr>
          </w:pPr>
          <w:hyperlink w:anchor="_Toc219972860" w:history="1">
            <w:r w:rsidR="00F00BED" w:rsidRPr="00524A62">
              <w:rPr>
                <w:rStyle w:val="Hyperlink"/>
                <w:rFonts w:cstheme="minorHAnsi"/>
                <w:noProof/>
                <w:lang w:val="en-US"/>
              </w:rPr>
              <w:t>Data sources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_Toc219972860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2</w:t>
            </w:r>
            <w:r w:rsidR="00F00BED" w:rsidRPr="00524A62">
              <w:rPr>
                <w:noProof/>
                <w:webHidden/>
                <w:lang w:val="en-US"/>
              </w:rPr>
              <w:fldChar w:fldCharType="end"/>
            </w:r>
          </w:hyperlink>
        </w:p>
        <w:p w14:paraId="4C41CB87" w14:textId="51453152" w:rsidR="00F00BED" w:rsidRPr="00524A62" w:rsidRDefault="00345883">
          <w:pPr>
            <w:pStyle w:val="TOC1"/>
            <w:tabs>
              <w:tab w:val="right" w:leader="dot" w:pos="9062"/>
            </w:tabs>
            <w:rPr>
              <w:rFonts w:eastAsiaTheme="minorEastAsia"/>
              <w:noProof/>
              <w:lang w:val="en-US"/>
            </w:rPr>
          </w:pPr>
          <w:hyperlink w:anchor="_Toc219972861" w:history="1">
            <w:r w:rsidR="00F00BED" w:rsidRPr="00524A62">
              <w:rPr>
                <w:rStyle w:val="Hyperlink"/>
                <w:noProof/>
                <w:lang w:val="en-US"/>
              </w:rPr>
              <w:t>Data overview: time, jurisdictions, and technological scope</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_Toc219972861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2</w:t>
            </w:r>
            <w:r w:rsidR="00F00BED" w:rsidRPr="00524A62">
              <w:rPr>
                <w:noProof/>
                <w:webHidden/>
                <w:lang w:val="en-US"/>
              </w:rPr>
              <w:fldChar w:fldCharType="end"/>
            </w:r>
          </w:hyperlink>
        </w:p>
        <w:p w14:paraId="1329D54F" w14:textId="1679C1BB" w:rsidR="00F00BED" w:rsidRPr="00524A62" w:rsidRDefault="00345883">
          <w:pPr>
            <w:pStyle w:val="TOC1"/>
            <w:tabs>
              <w:tab w:val="right" w:leader="dot" w:pos="9062"/>
            </w:tabs>
            <w:rPr>
              <w:rFonts w:eastAsiaTheme="minorEastAsia"/>
              <w:noProof/>
              <w:lang w:val="en-US"/>
            </w:rPr>
          </w:pPr>
          <w:hyperlink w:anchor="_Toc219972862" w:history="1">
            <w:r w:rsidR="00F00BED" w:rsidRPr="00524A62">
              <w:rPr>
                <w:rStyle w:val="Hyperlink"/>
                <w:noProof/>
                <w:lang w:val="en-US"/>
              </w:rPr>
              <w:t>Scope: which policy instruments are recorded?</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_Toc219972862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3</w:t>
            </w:r>
            <w:r w:rsidR="00F00BED" w:rsidRPr="00524A62">
              <w:rPr>
                <w:noProof/>
                <w:webHidden/>
                <w:lang w:val="en-US"/>
              </w:rPr>
              <w:fldChar w:fldCharType="end"/>
            </w:r>
          </w:hyperlink>
        </w:p>
        <w:p w14:paraId="46E8F451" w14:textId="41FEEAAF" w:rsidR="00F00BED" w:rsidRPr="00524A62" w:rsidRDefault="00345883">
          <w:pPr>
            <w:pStyle w:val="TOC2"/>
            <w:tabs>
              <w:tab w:val="right" w:leader="dot" w:pos="9062"/>
            </w:tabs>
            <w:rPr>
              <w:rFonts w:eastAsiaTheme="minorEastAsia"/>
              <w:noProof/>
              <w:lang w:val="en-US"/>
            </w:rPr>
          </w:pPr>
          <w:hyperlink w:anchor="_Toc219972863" w:history="1">
            <w:r w:rsidR="00F00BED" w:rsidRPr="00524A62">
              <w:rPr>
                <w:rStyle w:val="Hyperlink"/>
                <w:noProof/>
                <w:lang w:val="en-US"/>
              </w:rPr>
              <w:t>When are instruments not recorded?</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_Toc219972863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4</w:t>
            </w:r>
            <w:r w:rsidR="00F00BED" w:rsidRPr="00524A62">
              <w:rPr>
                <w:noProof/>
                <w:webHidden/>
                <w:lang w:val="en-US"/>
              </w:rPr>
              <w:fldChar w:fldCharType="end"/>
            </w:r>
          </w:hyperlink>
        </w:p>
        <w:p w14:paraId="71F19F3D" w14:textId="0F0C2EE3" w:rsidR="00F00BED" w:rsidRPr="00524A62" w:rsidRDefault="00345883">
          <w:pPr>
            <w:pStyle w:val="TOC2"/>
            <w:tabs>
              <w:tab w:val="right" w:leader="dot" w:pos="9062"/>
            </w:tabs>
            <w:rPr>
              <w:rFonts w:eastAsiaTheme="minorEastAsia"/>
              <w:noProof/>
              <w:lang w:val="en-US"/>
            </w:rPr>
          </w:pPr>
          <w:hyperlink w:anchor="_Toc219972864" w:history="1">
            <w:r w:rsidR="00F00BED" w:rsidRPr="00524A62">
              <w:rPr>
                <w:rStyle w:val="Hyperlink"/>
                <w:noProof/>
                <w:lang w:val="en-US"/>
              </w:rPr>
              <w:t>Correctness and completeness of data</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_Toc219972864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4</w:t>
            </w:r>
            <w:r w:rsidR="00F00BED" w:rsidRPr="00524A62">
              <w:rPr>
                <w:noProof/>
                <w:webHidden/>
                <w:lang w:val="en-US"/>
              </w:rPr>
              <w:fldChar w:fldCharType="end"/>
            </w:r>
          </w:hyperlink>
        </w:p>
        <w:p w14:paraId="5D76E2DE" w14:textId="504CFC8C" w:rsidR="00F00BED" w:rsidRPr="00524A62" w:rsidRDefault="00345883">
          <w:pPr>
            <w:pStyle w:val="TOC1"/>
            <w:tabs>
              <w:tab w:val="right" w:leader="dot" w:pos="9062"/>
            </w:tabs>
            <w:rPr>
              <w:rFonts w:eastAsiaTheme="minorEastAsia"/>
              <w:noProof/>
              <w:lang w:val="en-US"/>
            </w:rPr>
          </w:pPr>
          <w:hyperlink w:anchor="_Toc219972865" w:history="1">
            <w:r w:rsidR="00F00BED" w:rsidRPr="00524A62">
              <w:rPr>
                <w:rStyle w:val="Hyperlink"/>
                <w:noProof/>
                <w:lang w:val="en-US"/>
              </w:rPr>
              <w:t>Variables common for all policy instruments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_Toc219972865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5</w:t>
            </w:r>
            <w:r w:rsidR="00F00BED" w:rsidRPr="00524A62">
              <w:rPr>
                <w:noProof/>
                <w:webHidden/>
                <w:lang w:val="en-US"/>
              </w:rPr>
              <w:fldChar w:fldCharType="end"/>
            </w:r>
          </w:hyperlink>
        </w:p>
        <w:p w14:paraId="34EA344B" w14:textId="529D2D29" w:rsidR="00F00BED" w:rsidRPr="00524A62" w:rsidRDefault="00345883">
          <w:pPr>
            <w:pStyle w:val="TOC2"/>
            <w:tabs>
              <w:tab w:val="right" w:leader="dot" w:pos="9062"/>
            </w:tabs>
            <w:rPr>
              <w:rFonts w:eastAsiaTheme="minorEastAsia"/>
              <w:noProof/>
              <w:lang w:val="en-US"/>
            </w:rPr>
          </w:pPr>
          <w:hyperlink w:anchor="_Toc219972866" w:history="1">
            <w:r w:rsidR="00F00BED" w:rsidRPr="00524A62">
              <w:rPr>
                <w:rStyle w:val="Hyperlink"/>
                <w:noProof/>
                <w:lang w:val="en-US"/>
              </w:rPr>
              <w:t>Year and Month</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_Toc219972866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5</w:t>
            </w:r>
            <w:r w:rsidR="00F00BED" w:rsidRPr="00524A62">
              <w:rPr>
                <w:noProof/>
                <w:webHidden/>
                <w:lang w:val="en-US"/>
              </w:rPr>
              <w:fldChar w:fldCharType="end"/>
            </w:r>
          </w:hyperlink>
        </w:p>
        <w:p w14:paraId="17E4EC54" w14:textId="06CDC035" w:rsidR="00F00BED" w:rsidRPr="00524A62" w:rsidRDefault="00345883">
          <w:pPr>
            <w:pStyle w:val="TOC2"/>
            <w:tabs>
              <w:tab w:val="right" w:leader="dot" w:pos="9062"/>
            </w:tabs>
            <w:rPr>
              <w:rFonts w:eastAsiaTheme="minorEastAsia"/>
              <w:noProof/>
              <w:lang w:val="en-US"/>
            </w:rPr>
          </w:pPr>
          <w:hyperlink w:anchor="_Toc219972867" w:history="1">
            <w:r w:rsidR="00F00BED" w:rsidRPr="00524A62">
              <w:rPr>
                <w:rStyle w:val="Hyperlink"/>
                <w:noProof/>
                <w:lang w:val="en-US"/>
              </w:rPr>
              <w:t>Affected technologies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_Toc219972867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5</w:t>
            </w:r>
            <w:r w:rsidR="00F00BED" w:rsidRPr="00524A62">
              <w:rPr>
                <w:noProof/>
                <w:webHidden/>
                <w:lang w:val="en-US"/>
              </w:rPr>
              <w:fldChar w:fldCharType="end"/>
            </w:r>
          </w:hyperlink>
        </w:p>
        <w:p w14:paraId="444B0624" w14:textId="50AE3DEA" w:rsidR="00F00BED" w:rsidRPr="00524A62" w:rsidRDefault="00345883">
          <w:pPr>
            <w:pStyle w:val="TOC2"/>
            <w:tabs>
              <w:tab w:val="right" w:leader="dot" w:pos="9062"/>
            </w:tabs>
            <w:rPr>
              <w:rFonts w:eastAsiaTheme="minorEastAsia"/>
              <w:noProof/>
              <w:lang w:val="en-US"/>
            </w:rPr>
          </w:pPr>
          <w:hyperlink w:anchor="_Toc219972868" w:history="1">
            <w:r w:rsidR="00F00BED" w:rsidRPr="00524A62">
              <w:rPr>
                <w:rStyle w:val="Hyperlink"/>
                <w:noProof/>
                <w:lang w:val="en-US"/>
              </w:rPr>
              <w:t>Actors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_Toc219972868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7</w:t>
            </w:r>
            <w:r w:rsidR="00F00BED" w:rsidRPr="00524A62">
              <w:rPr>
                <w:noProof/>
                <w:webHidden/>
                <w:lang w:val="en-US"/>
              </w:rPr>
              <w:fldChar w:fldCharType="end"/>
            </w:r>
          </w:hyperlink>
        </w:p>
        <w:p w14:paraId="0D3772B1" w14:textId="13865D31" w:rsidR="00F00BED" w:rsidRPr="00524A62" w:rsidRDefault="00345883">
          <w:pPr>
            <w:pStyle w:val="TOC2"/>
            <w:tabs>
              <w:tab w:val="right" w:leader="dot" w:pos="9062"/>
            </w:tabs>
            <w:rPr>
              <w:rFonts w:eastAsiaTheme="minorEastAsia"/>
              <w:noProof/>
              <w:lang w:val="en-US"/>
            </w:rPr>
          </w:pPr>
          <w:hyperlink w:anchor="_Toc219972869" w:history="1">
            <w:r w:rsidR="00F00BED" w:rsidRPr="00524A62">
              <w:rPr>
                <w:rStyle w:val="Hyperlink"/>
                <w:noProof/>
                <w:lang w:val="en-US" w:eastAsia="en-IN"/>
              </w:rPr>
              <w:t>Policy name and budget</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_Toc219972869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7</w:t>
            </w:r>
            <w:r w:rsidR="00F00BED" w:rsidRPr="00524A62">
              <w:rPr>
                <w:noProof/>
                <w:webHidden/>
                <w:lang w:val="en-US"/>
              </w:rPr>
              <w:fldChar w:fldCharType="end"/>
            </w:r>
          </w:hyperlink>
        </w:p>
        <w:p w14:paraId="23379B16" w14:textId="155F5E86" w:rsidR="00F00BED" w:rsidRPr="00524A62" w:rsidRDefault="00345883">
          <w:pPr>
            <w:pStyle w:val="TOC2"/>
            <w:tabs>
              <w:tab w:val="right" w:leader="dot" w:pos="9062"/>
            </w:tabs>
            <w:rPr>
              <w:rFonts w:eastAsiaTheme="minorEastAsia"/>
              <w:noProof/>
              <w:lang w:val="en-US"/>
            </w:rPr>
          </w:pPr>
          <w:hyperlink w:anchor="_Toc219972870" w:history="1">
            <w:r w:rsidR="00F00BED" w:rsidRPr="00524A62">
              <w:rPr>
                <w:rStyle w:val="Hyperlink"/>
                <w:noProof/>
                <w:lang w:val="en-US"/>
              </w:rPr>
              <w:t>Policy</w:t>
            </w:r>
            <w:r w:rsidR="00F00BED" w:rsidRPr="00524A62">
              <w:rPr>
                <w:rStyle w:val="Hyperlink"/>
                <w:noProof/>
                <w:lang w:val="en-US" w:eastAsia="en-IN"/>
              </w:rPr>
              <w:t xml:space="preserve"> change and What changed</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_Toc219972870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7</w:t>
            </w:r>
            <w:r w:rsidR="00F00BED" w:rsidRPr="00524A62">
              <w:rPr>
                <w:noProof/>
                <w:webHidden/>
                <w:lang w:val="en-US"/>
              </w:rPr>
              <w:fldChar w:fldCharType="end"/>
            </w:r>
          </w:hyperlink>
        </w:p>
        <w:p w14:paraId="274569F8" w14:textId="2EE54EC1" w:rsidR="00F00BED" w:rsidRPr="00524A62" w:rsidRDefault="00345883">
          <w:pPr>
            <w:pStyle w:val="TOC2"/>
            <w:tabs>
              <w:tab w:val="right" w:leader="dot" w:pos="9062"/>
            </w:tabs>
            <w:rPr>
              <w:rFonts w:eastAsiaTheme="minorEastAsia"/>
              <w:noProof/>
              <w:lang w:val="en-US"/>
            </w:rPr>
          </w:pPr>
          <w:hyperlink w:anchor="_Toc219972871" w:history="1">
            <w:r w:rsidR="00F00BED" w:rsidRPr="00524A62">
              <w:rPr>
                <w:rStyle w:val="Hyperlink"/>
                <w:noProof/>
                <w:lang w:val="en-US" w:eastAsia="en-IN"/>
              </w:rPr>
              <w:t xml:space="preserve">Sources, notes, and CPDB policy </w:t>
            </w:r>
            <w:r w:rsidR="00F00BED" w:rsidRPr="00524A62">
              <w:rPr>
                <w:rStyle w:val="Hyperlink"/>
                <w:noProof/>
                <w:lang w:val="en-US"/>
              </w:rPr>
              <w:t>identifier</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_Toc219972871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8</w:t>
            </w:r>
            <w:r w:rsidR="00F00BED" w:rsidRPr="00524A62">
              <w:rPr>
                <w:noProof/>
                <w:webHidden/>
                <w:lang w:val="en-US"/>
              </w:rPr>
              <w:fldChar w:fldCharType="end"/>
            </w:r>
          </w:hyperlink>
        </w:p>
        <w:p w14:paraId="2CFF13CE" w14:textId="0C4834D4" w:rsidR="00F00BED" w:rsidRPr="00524A62" w:rsidRDefault="00345883">
          <w:pPr>
            <w:pStyle w:val="TOC1"/>
            <w:tabs>
              <w:tab w:val="right" w:leader="dot" w:pos="9062"/>
            </w:tabs>
            <w:rPr>
              <w:rFonts w:eastAsiaTheme="minorEastAsia"/>
              <w:noProof/>
              <w:lang w:val="en-US"/>
            </w:rPr>
          </w:pPr>
          <w:hyperlink w:anchor="_Toc219972872" w:history="1">
            <w:r w:rsidR="00F00BED" w:rsidRPr="00524A62">
              <w:rPr>
                <w:rStyle w:val="Hyperlink"/>
                <w:noProof/>
                <w:lang w:val="en-US"/>
              </w:rPr>
              <w:t>Variables</w:t>
            </w:r>
            <w:r w:rsidR="00F00BED" w:rsidRPr="00524A62">
              <w:rPr>
                <w:rStyle w:val="Hyperlink"/>
                <w:noProof/>
                <w:lang w:val="en-US" w:eastAsia="en-IN"/>
              </w:rPr>
              <w:t xml:space="preserve"> common for most policy </w:t>
            </w:r>
            <w:r w:rsidR="00F00BED" w:rsidRPr="00524A62">
              <w:rPr>
                <w:rStyle w:val="Hyperlink"/>
                <w:noProof/>
                <w:lang w:val="en-US"/>
              </w:rPr>
              <w:t>instruments</w:t>
            </w:r>
            <w:r w:rsidR="00F00BED" w:rsidRPr="00524A62">
              <w:rPr>
                <w:rStyle w:val="Hyperlink"/>
                <w:noProof/>
                <w:lang w:val="en-US" w:eastAsia="en-IN"/>
              </w:rPr>
              <w:t>: support level and conditions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_Toc219972872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8</w:t>
            </w:r>
            <w:r w:rsidR="00F00BED" w:rsidRPr="00524A62">
              <w:rPr>
                <w:noProof/>
                <w:webHidden/>
                <w:lang w:val="en-US"/>
              </w:rPr>
              <w:fldChar w:fldCharType="end"/>
            </w:r>
          </w:hyperlink>
        </w:p>
        <w:p w14:paraId="50A78EF7" w14:textId="317A83D1" w:rsidR="00F00BED" w:rsidRPr="00524A62" w:rsidRDefault="00345883">
          <w:pPr>
            <w:pStyle w:val="TOC2"/>
            <w:tabs>
              <w:tab w:val="right" w:leader="dot" w:pos="9062"/>
            </w:tabs>
            <w:rPr>
              <w:rFonts w:eastAsiaTheme="minorEastAsia"/>
              <w:noProof/>
              <w:lang w:val="en-US"/>
            </w:rPr>
          </w:pPr>
          <w:hyperlink w:anchor="_Toc219972873" w:history="1">
            <w:r w:rsidR="00F00BED" w:rsidRPr="00524A62">
              <w:rPr>
                <w:rStyle w:val="Hyperlink"/>
                <w:noProof/>
                <w:lang w:val="en-US" w:eastAsia="en-IN"/>
              </w:rPr>
              <w:t xml:space="preserve">Support level and </w:t>
            </w:r>
            <w:r w:rsidR="00F00BED" w:rsidRPr="00524A62">
              <w:rPr>
                <w:rStyle w:val="Hyperlink"/>
                <w:noProof/>
                <w:lang w:val="en-US"/>
              </w:rPr>
              <w:t>conditions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_Toc219972873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8</w:t>
            </w:r>
            <w:r w:rsidR="00F00BED" w:rsidRPr="00524A62">
              <w:rPr>
                <w:noProof/>
                <w:webHidden/>
                <w:lang w:val="en-US"/>
              </w:rPr>
              <w:fldChar w:fldCharType="end"/>
            </w:r>
          </w:hyperlink>
        </w:p>
        <w:p w14:paraId="47247E5C" w14:textId="2D3CE66F" w:rsidR="00F00BED" w:rsidRPr="00524A62" w:rsidRDefault="00345883">
          <w:pPr>
            <w:pStyle w:val="TOC2"/>
            <w:tabs>
              <w:tab w:val="right" w:leader="dot" w:pos="9062"/>
            </w:tabs>
            <w:rPr>
              <w:rFonts w:eastAsiaTheme="minorEastAsia"/>
              <w:noProof/>
              <w:lang w:val="en-US"/>
            </w:rPr>
          </w:pPr>
          <w:hyperlink w:anchor="_Toc219972874" w:history="1">
            <w:r w:rsidR="00F00BED" w:rsidRPr="00524A62">
              <w:rPr>
                <w:rStyle w:val="Hyperlink"/>
                <w:noProof/>
                <w:lang w:val="en-US"/>
              </w:rPr>
              <w:t>Support levels: currency and percent</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_Toc219972874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10</w:t>
            </w:r>
            <w:r w:rsidR="00F00BED" w:rsidRPr="00524A62">
              <w:rPr>
                <w:noProof/>
                <w:webHidden/>
                <w:lang w:val="en-US"/>
              </w:rPr>
              <w:fldChar w:fldCharType="end"/>
            </w:r>
          </w:hyperlink>
        </w:p>
        <w:p w14:paraId="5E106716" w14:textId="621A986D" w:rsidR="00F00BED" w:rsidRPr="00524A62" w:rsidRDefault="00345883">
          <w:pPr>
            <w:pStyle w:val="TOC2"/>
            <w:tabs>
              <w:tab w:val="right" w:leader="dot" w:pos="9062"/>
            </w:tabs>
            <w:rPr>
              <w:rFonts w:eastAsiaTheme="minorEastAsia"/>
              <w:noProof/>
              <w:lang w:val="en-US"/>
            </w:rPr>
          </w:pPr>
          <w:hyperlink w:anchor="_Toc219972875" w:history="1">
            <w:r w:rsidR="00F00BED" w:rsidRPr="00524A62">
              <w:rPr>
                <w:rStyle w:val="Hyperlink"/>
                <w:noProof/>
                <w:lang w:val="en-US" w:eastAsia="en-IN"/>
              </w:rPr>
              <w:t xml:space="preserve">Support duration, </w:t>
            </w:r>
            <w:r w:rsidR="00F00BED" w:rsidRPr="00524A62">
              <w:rPr>
                <w:rStyle w:val="Hyperlink"/>
                <w:noProof/>
                <w:lang w:val="en-US"/>
              </w:rPr>
              <w:t>cap</w:t>
            </w:r>
            <w:r w:rsidR="00F00BED" w:rsidRPr="00524A62">
              <w:rPr>
                <w:rStyle w:val="Hyperlink"/>
                <w:noProof/>
                <w:lang w:val="en-US" w:eastAsia="en-IN"/>
              </w:rPr>
              <w:t>, and degression</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_Toc219972875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11</w:t>
            </w:r>
            <w:r w:rsidR="00F00BED" w:rsidRPr="00524A62">
              <w:rPr>
                <w:noProof/>
                <w:webHidden/>
                <w:lang w:val="en-US"/>
              </w:rPr>
              <w:fldChar w:fldCharType="end"/>
            </w:r>
          </w:hyperlink>
        </w:p>
        <w:p w14:paraId="364FA4C3" w14:textId="0AC78917" w:rsidR="00F00BED" w:rsidRPr="00524A62" w:rsidRDefault="00345883">
          <w:pPr>
            <w:pStyle w:val="TOC1"/>
            <w:tabs>
              <w:tab w:val="right" w:leader="dot" w:pos="9062"/>
            </w:tabs>
            <w:rPr>
              <w:rFonts w:eastAsiaTheme="minorEastAsia"/>
              <w:noProof/>
              <w:lang w:val="en-US"/>
            </w:rPr>
          </w:pPr>
          <w:hyperlink w:anchor="_Toc219972876" w:history="1">
            <w:r w:rsidR="00F00BED" w:rsidRPr="00524A62">
              <w:rPr>
                <w:rStyle w:val="Hyperlink"/>
                <w:noProof/>
                <w:lang w:val="en-US"/>
              </w:rPr>
              <w:t>Details on renewable energy policy support instruments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_Toc219972876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12</w:t>
            </w:r>
            <w:r w:rsidR="00F00BED" w:rsidRPr="00524A62">
              <w:rPr>
                <w:noProof/>
                <w:webHidden/>
                <w:lang w:val="en-US"/>
              </w:rPr>
              <w:fldChar w:fldCharType="end"/>
            </w:r>
          </w:hyperlink>
        </w:p>
        <w:p w14:paraId="2870AAA7" w14:textId="1D152F01" w:rsidR="00F00BED" w:rsidRPr="00524A62" w:rsidRDefault="00345883">
          <w:pPr>
            <w:pStyle w:val="TOC2"/>
            <w:tabs>
              <w:tab w:val="right" w:leader="dot" w:pos="9062"/>
            </w:tabs>
            <w:rPr>
              <w:rFonts w:eastAsiaTheme="minorEastAsia"/>
              <w:noProof/>
              <w:lang w:val="en-US"/>
            </w:rPr>
          </w:pPr>
          <w:hyperlink w:anchor="_Toc219972877" w:history="1">
            <w:r w:rsidR="00F00BED" w:rsidRPr="00524A62">
              <w:rPr>
                <w:rStyle w:val="Hyperlink"/>
                <w:noProof/>
                <w:lang w:val="en-US"/>
              </w:rPr>
              <w:t>Policy instruments for renewable energy support</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_Toc219972877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12</w:t>
            </w:r>
            <w:r w:rsidR="00F00BED" w:rsidRPr="00524A62">
              <w:rPr>
                <w:noProof/>
                <w:webHidden/>
                <w:lang w:val="en-US"/>
              </w:rPr>
              <w:fldChar w:fldCharType="end"/>
            </w:r>
          </w:hyperlink>
        </w:p>
        <w:p w14:paraId="054F8C08" w14:textId="316F71C1" w:rsidR="00F00BED" w:rsidRPr="00524A62" w:rsidRDefault="00345883">
          <w:pPr>
            <w:pStyle w:val="TOC3"/>
            <w:tabs>
              <w:tab w:val="left" w:pos="1134"/>
              <w:tab w:val="right" w:leader="dot" w:pos="9062"/>
            </w:tabs>
            <w:rPr>
              <w:rFonts w:eastAsiaTheme="minorEastAsia"/>
              <w:noProof/>
              <w:lang w:val="en-US"/>
            </w:rPr>
          </w:pPr>
          <w:hyperlink w:anchor="_Toc219972878" w:history="1">
            <w:r w:rsidR="00F00BED" w:rsidRPr="00524A62">
              <w:rPr>
                <w:rStyle w:val="Hyperlink"/>
                <w:rFonts w:asciiTheme="majorHAnsi" w:hAnsiTheme="majorHAnsi" w:cstheme="majorHAnsi"/>
                <w:noProof/>
                <w:lang w:val="en-US"/>
              </w:rPr>
              <w:t>1.</w:t>
            </w:r>
            <w:r w:rsidR="00F00BED" w:rsidRPr="00524A62">
              <w:rPr>
                <w:rFonts w:eastAsiaTheme="minorEastAsia"/>
                <w:noProof/>
                <w:lang w:val="en-US"/>
              </w:rPr>
              <w:tab/>
            </w:r>
            <w:r w:rsidR="00F00BED" w:rsidRPr="00524A62">
              <w:rPr>
                <w:rStyle w:val="Hyperlink"/>
                <w:rFonts w:asciiTheme="majorHAnsi" w:hAnsiTheme="majorHAnsi" w:cstheme="majorHAnsi"/>
                <w:noProof/>
                <w:lang w:val="en-US"/>
              </w:rPr>
              <w:t>Feed-in Tariff (FIT)</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_Toc219972878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13</w:t>
            </w:r>
            <w:r w:rsidR="00F00BED" w:rsidRPr="00524A62">
              <w:rPr>
                <w:noProof/>
                <w:webHidden/>
                <w:lang w:val="en-US"/>
              </w:rPr>
              <w:fldChar w:fldCharType="end"/>
            </w:r>
          </w:hyperlink>
        </w:p>
        <w:p w14:paraId="57BBCDB2" w14:textId="6CD500ED" w:rsidR="00F00BED" w:rsidRPr="00524A62" w:rsidRDefault="00345883">
          <w:pPr>
            <w:pStyle w:val="TOC3"/>
            <w:tabs>
              <w:tab w:val="left" w:pos="1134"/>
              <w:tab w:val="right" w:leader="dot" w:pos="9062"/>
            </w:tabs>
            <w:rPr>
              <w:rFonts w:eastAsiaTheme="minorEastAsia"/>
              <w:noProof/>
              <w:lang w:val="en-US"/>
            </w:rPr>
          </w:pPr>
          <w:hyperlink w:anchor="_Toc219972879" w:history="1">
            <w:r w:rsidR="00F00BED" w:rsidRPr="00524A62">
              <w:rPr>
                <w:rStyle w:val="Hyperlink"/>
                <w:rFonts w:asciiTheme="majorHAnsi" w:hAnsiTheme="majorHAnsi" w:cstheme="majorHAnsi"/>
                <w:noProof/>
                <w:lang w:val="en-US"/>
              </w:rPr>
              <w:t>2.</w:t>
            </w:r>
            <w:r w:rsidR="00F00BED" w:rsidRPr="00524A62">
              <w:rPr>
                <w:rFonts w:eastAsiaTheme="minorEastAsia"/>
                <w:noProof/>
                <w:lang w:val="en-US"/>
              </w:rPr>
              <w:tab/>
            </w:r>
            <w:r w:rsidR="00F00BED" w:rsidRPr="00524A62">
              <w:rPr>
                <w:rStyle w:val="Hyperlink"/>
                <w:rFonts w:asciiTheme="majorHAnsi" w:hAnsiTheme="majorHAnsi" w:cstheme="majorHAnsi"/>
                <w:noProof/>
                <w:lang w:val="en-US"/>
              </w:rPr>
              <w:t>Feed-in Premium (FIP)</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_Toc219972879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13</w:t>
            </w:r>
            <w:r w:rsidR="00F00BED" w:rsidRPr="00524A62">
              <w:rPr>
                <w:noProof/>
                <w:webHidden/>
                <w:lang w:val="en-US"/>
              </w:rPr>
              <w:fldChar w:fldCharType="end"/>
            </w:r>
          </w:hyperlink>
        </w:p>
        <w:p w14:paraId="5ACF07BE" w14:textId="41027806" w:rsidR="00F00BED" w:rsidRPr="00524A62" w:rsidRDefault="00345883">
          <w:pPr>
            <w:pStyle w:val="TOC3"/>
            <w:tabs>
              <w:tab w:val="left" w:pos="1134"/>
              <w:tab w:val="right" w:leader="dot" w:pos="9062"/>
            </w:tabs>
            <w:rPr>
              <w:rFonts w:eastAsiaTheme="minorEastAsia"/>
              <w:noProof/>
              <w:lang w:val="en-US"/>
            </w:rPr>
          </w:pPr>
          <w:hyperlink w:anchor="_Toc219972880" w:history="1">
            <w:r w:rsidR="00F00BED" w:rsidRPr="00524A62">
              <w:rPr>
                <w:rStyle w:val="Hyperlink"/>
                <w:rFonts w:asciiTheme="majorHAnsi" w:hAnsiTheme="majorHAnsi" w:cstheme="majorHAnsi"/>
                <w:noProof/>
                <w:lang w:val="en-US"/>
              </w:rPr>
              <w:t>3.</w:t>
            </w:r>
            <w:r w:rsidR="00F00BED" w:rsidRPr="00524A62">
              <w:rPr>
                <w:rFonts w:eastAsiaTheme="minorEastAsia"/>
                <w:noProof/>
                <w:lang w:val="en-US"/>
              </w:rPr>
              <w:tab/>
            </w:r>
            <w:r w:rsidR="00F00BED" w:rsidRPr="00524A62">
              <w:rPr>
                <w:rStyle w:val="Hyperlink"/>
                <w:rFonts w:asciiTheme="majorHAnsi" w:hAnsiTheme="majorHAnsi" w:cstheme="majorHAnsi"/>
                <w:noProof/>
                <w:lang w:val="en-US"/>
              </w:rPr>
              <w:t>Auctions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_Toc219972880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14</w:t>
            </w:r>
            <w:r w:rsidR="00F00BED" w:rsidRPr="00524A62">
              <w:rPr>
                <w:noProof/>
                <w:webHidden/>
                <w:lang w:val="en-US"/>
              </w:rPr>
              <w:fldChar w:fldCharType="end"/>
            </w:r>
          </w:hyperlink>
        </w:p>
        <w:p w14:paraId="5368FB4F" w14:textId="7F8E55FD" w:rsidR="00F00BED" w:rsidRPr="00524A62" w:rsidRDefault="00345883">
          <w:pPr>
            <w:pStyle w:val="TOC3"/>
            <w:tabs>
              <w:tab w:val="left" w:pos="1134"/>
              <w:tab w:val="right" w:leader="dot" w:pos="9062"/>
            </w:tabs>
            <w:rPr>
              <w:rFonts w:eastAsiaTheme="minorEastAsia"/>
              <w:noProof/>
              <w:lang w:val="en-US"/>
            </w:rPr>
          </w:pPr>
          <w:hyperlink w:anchor="_Toc219972881" w:history="1">
            <w:r w:rsidR="00F00BED" w:rsidRPr="00524A62">
              <w:rPr>
                <w:rStyle w:val="Hyperlink"/>
                <w:rFonts w:asciiTheme="majorHAnsi" w:hAnsiTheme="majorHAnsi" w:cstheme="majorHAnsi"/>
                <w:noProof/>
                <w:lang w:val="en-US"/>
              </w:rPr>
              <w:t>4.</w:t>
            </w:r>
            <w:r w:rsidR="00F00BED" w:rsidRPr="00524A62">
              <w:rPr>
                <w:rFonts w:eastAsiaTheme="minorEastAsia"/>
                <w:noProof/>
                <w:lang w:val="en-US"/>
              </w:rPr>
              <w:tab/>
            </w:r>
            <w:r w:rsidR="00F00BED" w:rsidRPr="00524A62">
              <w:rPr>
                <w:rStyle w:val="Hyperlink"/>
                <w:rFonts w:asciiTheme="majorHAnsi" w:hAnsiTheme="majorHAnsi" w:cstheme="majorHAnsi"/>
                <w:noProof/>
                <w:lang w:val="en-US"/>
              </w:rPr>
              <w:t>Soft loans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_Toc219972881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19</w:t>
            </w:r>
            <w:r w:rsidR="00F00BED" w:rsidRPr="00524A62">
              <w:rPr>
                <w:noProof/>
                <w:webHidden/>
                <w:lang w:val="en-US"/>
              </w:rPr>
              <w:fldChar w:fldCharType="end"/>
            </w:r>
          </w:hyperlink>
        </w:p>
        <w:p w14:paraId="7D7DE621" w14:textId="2F1619A6" w:rsidR="00F00BED" w:rsidRPr="00524A62" w:rsidRDefault="00345883">
          <w:pPr>
            <w:pStyle w:val="TOC3"/>
            <w:tabs>
              <w:tab w:val="left" w:pos="1134"/>
              <w:tab w:val="right" w:leader="dot" w:pos="9062"/>
            </w:tabs>
            <w:rPr>
              <w:rFonts w:eastAsiaTheme="minorEastAsia"/>
              <w:noProof/>
              <w:lang w:val="en-US"/>
            </w:rPr>
          </w:pPr>
          <w:hyperlink w:anchor="_Toc219972882" w:history="1">
            <w:r w:rsidR="00F00BED" w:rsidRPr="00524A62">
              <w:rPr>
                <w:rStyle w:val="Hyperlink"/>
                <w:rFonts w:asciiTheme="majorHAnsi" w:hAnsiTheme="majorHAnsi" w:cstheme="majorHAnsi"/>
                <w:noProof/>
                <w:lang w:val="en-US"/>
              </w:rPr>
              <w:t>5.</w:t>
            </w:r>
            <w:r w:rsidR="00F00BED" w:rsidRPr="00524A62">
              <w:rPr>
                <w:rFonts w:eastAsiaTheme="minorEastAsia"/>
                <w:noProof/>
                <w:lang w:val="en-US"/>
              </w:rPr>
              <w:tab/>
            </w:r>
            <w:r w:rsidR="00F00BED" w:rsidRPr="00524A62">
              <w:rPr>
                <w:rStyle w:val="Hyperlink"/>
                <w:rFonts w:asciiTheme="majorHAnsi" w:hAnsiTheme="majorHAnsi" w:cstheme="majorHAnsi"/>
                <w:noProof/>
                <w:lang w:val="en-US"/>
              </w:rPr>
              <w:t>Loan guarantee</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_Toc219972882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19</w:t>
            </w:r>
            <w:r w:rsidR="00F00BED" w:rsidRPr="00524A62">
              <w:rPr>
                <w:noProof/>
                <w:webHidden/>
                <w:lang w:val="en-US"/>
              </w:rPr>
              <w:fldChar w:fldCharType="end"/>
            </w:r>
          </w:hyperlink>
        </w:p>
        <w:p w14:paraId="61F2776C" w14:textId="6D330191" w:rsidR="00F00BED" w:rsidRPr="00524A62" w:rsidRDefault="00345883">
          <w:pPr>
            <w:pStyle w:val="TOC3"/>
            <w:tabs>
              <w:tab w:val="left" w:pos="1134"/>
              <w:tab w:val="right" w:leader="dot" w:pos="9062"/>
            </w:tabs>
            <w:rPr>
              <w:rFonts w:eastAsiaTheme="minorEastAsia"/>
              <w:noProof/>
              <w:lang w:val="en-US"/>
            </w:rPr>
          </w:pPr>
          <w:hyperlink w:anchor="_Toc219972883" w:history="1">
            <w:r w:rsidR="00F00BED" w:rsidRPr="00524A62">
              <w:rPr>
                <w:rStyle w:val="Hyperlink"/>
                <w:rFonts w:asciiTheme="majorHAnsi" w:hAnsiTheme="majorHAnsi" w:cstheme="majorHAnsi"/>
                <w:noProof/>
                <w:lang w:val="en-US"/>
              </w:rPr>
              <w:t>6.</w:t>
            </w:r>
            <w:r w:rsidR="00F00BED" w:rsidRPr="00524A62">
              <w:rPr>
                <w:rFonts w:eastAsiaTheme="minorEastAsia"/>
                <w:noProof/>
                <w:lang w:val="en-US"/>
              </w:rPr>
              <w:tab/>
            </w:r>
            <w:r w:rsidR="00F00BED" w:rsidRPr="00524A62">
              <w:rPr>
                <w:rStyle w:val="Hyperlink"/>
                <w:rFonts w:asciiTheme="majorHAnsi" w:hAnsiTheme="majorHAnsi" w:cstheme="majorHAnsi"/>
                <w:noProof/>
                <w:lang w:val="en-US"/>
              </w:rPr>
              <w:t>Tax incentives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_Toc219972883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19</w:t>
            </w:r>
            <w:r w:rsidR="00F00BED" w:rsidRPr="00524A62">
              <w:rPr>
                <w:noProof/>
                <w:webHidden/>
                <w:lang w:val="en-US"/>
              </w:rPr>
              <w:fldChar w:fldCharType="end"/>
            </w:r>
          </w:hyperlink>
        </w:p>
        <w:p w14:paraId="2DDC58C1" w14:textId="18559425" w:rsidR="00F00BED" w:rsidRPr="00524A62" w:rsidRDefault="00345883">
          <w:pPr>
            <w:pStyle w:val="TOC3"/>
            <w:tabs>
              <w:tab w:val="left" w:pos="1134"/>
              <w:tab w:val="right" w:leader="dot" w:pos="9062"/>
            </w:tabs>
            <w:rPr>
              <w:rFonts w:eastAsiaTheme="minorEastAsia"/>
              <w:noProof/>
              <w:lang w:val="en-US"/>
            </w:rPr>
          </w:pPr>
          <w:hyperlink w:anchor="_Toc219972884" w:history="1">
            <w:r w:rsidR="00F00BED" w:rsidRPr="00524A62">
              <w:rPr>
                <w:rStyle w:val="Hyperlink"/>
                <w:rFonts w:asciiTheme="majorHAnsi" w:hAnsiTheme="majorHAnsi" w:cstheme="majorHAnsi"/>
                <w:noProof/>
                <w:lang w:val="en-US"/>
              </w:rPr>
              <w:t>7.</w:t>
            </w:r>
            <w:r w:rsidR="00F00BED" w:rsidRPr="00524A62">
              <w:rPr>
                <w:rFonts w:eastAsiaTheme="minorEastAsia"/>
                <w:noProof/>
                <w:lang w:val="en-US"/>
              </w:rPr>
              <w:tab/>
            </w:r>
            <w:r w:rsidR="00F00BED" w:rsidRPr="00524A62">
              <w:rPr>
                <w:rStyle w:val="Hyperlink"/>
                <w:rFonts w:asciiTheme="majorHAnsi" w:hAnsiTheme="majorHAnsi" w:cstheme="majorHAnsi"/>
                <w:noProof/>
                <w:lang w:val="en-US"/>
              </w:rPr>
              <w:t>Grants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_Toc219972884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21</w:t>
            </w:r>
            <w:r w:rsidR="00F00BED" w:rsidRPr="00524A62">
              <w:rPr>
                <w:noProof/>
                <w:webHidden/>
                <w:lang w:val="en-US"/>
              </w:rPr>
              <w:fldChar w:fldCharType="end"/>
            </w:r>
          </w:hyperlink>
        </w:p>
        <w:p w14:paraId="7945BAE1" w14:textId="39C18B91" w:rsidR="00F00BED" w:rsidRPr="00524A62" w:rsidRDefault="00345883">
          <w:pPr>
            <w:pStyle w:val="TOC3"/>
            <w:tabs>
              <w:tab w:val="left" w:pos="1134"/>
              <w:tab w:val="right" w:leader="dot" w:pos="9062"/>
            </w:tabs>
            <w:rPr>
              <w:rFonts w:eastAsiaTheme="minorEastAsia"/>
              <w:noProof/>
              <w:lang w:val="en-US"/>
            </w:rPr>
          </w:pPr>
          <w:hyperlink w:anchor="_Toc219972885" w:history="1">
            <w:r w:rsidR="00F00BED" w:rsidRPr="00524A62">
              <w:rPr>
                <w:rStyle w:val="Hyperlink"/>
                <w:rFonts w:asciiTheme="majorHAnsi" w:hAnsiTheme="majorHAnsi" w:cstheme="majorHAnsi"/>
                <w:noProof/>
                <w:lang w:val="en-US"/>
              </w:rPr>
              <w:t>8.</w:t>
            </w:r>
            <w:r w:rsidR="00F00BED" w:rsidRPr="00524A62">
              <w:rPr>
                <w:rFonts w:eastAsiaTheme="minorEastAsia"/>
                <w:noProof/>
                <w:lang w:val="en-US"/>
              </w:rPr>
              <w:tab/>
            </w:r>
            <w:r w:rsidR="00F00BED" w:rsidRPr="00524A62">
              <w:rPr>
                <w:rStyle w:val="Hyperlink"/>
                <w:rFonts w:asciiTheme="majorHAnsi" w:hAnsiTheme="majorHAnsi" w:cstheme="majorHAnsi"/>
                <w:noProof/>
                <w:lang w:val="en-US"/>
              </w:rPr>
              <w:t>Emission trading (“ETS”): cap-and-trade schemes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_Toc219972885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21</w:t>
            </w:r>
            <w:r w:rsidR="00F00BED" w:rsidRPr="00524A62">
              <w:rPr>
                <w:noProof/>
                <w:webHidden/>
                <w:lang w:val="en-US"/>
              </w:rPr>
              <w:fldChar w:fldCharType="end"/>
            </w:r>
          </w:hyperlink>
        </w:p>
        <w:p w14:paraId="031F309E" w14:textId="6AD0AAB9" w:rsidR="00F00BED" w:rsidRPr="00524A62" w:rsidRDefault="00345883">
          <w:pPr>
            <w:pStyle w:val="TOC3"/>
            <w:tabs>
              <w:tab w:val="left" w:pos="1134"/>
              <w:tab w:val="right" w:leader="dot" w:pos="9062"/>
            </w:tabs>
            <w:rPr>
              <w:rFonts w:eastAsiaTheme="minorEastAsia"/>
              <w:noProof/>
              <w:lang w:val="en-US"/>
            </w:rPr>
          </w:pPr>
          <w:hyperlink w:anchor="_Toc219972886" w:history="1">
            <w:r w:rsidR="00F00BED" w:rsidRPr="00524A62">
              <w:rPr>
                <w:rStyle w:val="Hyperlink"/>
                <w:rFonts w:asciiTheme="majorHAnsi" w:hAnsiTheme="majorHAnsi" w:cstheme="majorHAnsi"/>
                <w:noProof/>
                <w:lang w:val="en-US"/>
              </w:rPr>
              <w:t>9.</w:t>
            </w:r>
            <w:r w:rsidR="00F00BED" w:rsidRPr="00524A62">
              <w:rPr>
                <w:rFonts w:eastAsiaTheme="minorEastAsia"/>
                <w:noProof/>
                <w:lang w:val="en-US"/>
              </w:rPr>
              <w:tab/>
            </w:r>
            <w:r w:rsidR="00F00BED" w:rsidRPr="00524A62">
              <w:rPr>
                <w:rStyle w:val="Hyperlink"/>
                <w:rFonts w:asciiTheme="majorHAnsi" w:hAnsiTheme="majorHAnsi" w:cstheme="majorHAnsi"/>
                <w:noProof/>
                <w:lang w:val="en-US"/>
              </w:rPr>
              <w:t>Tradeable green certificates (TGCs)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_Toc219972886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21</w:t>
            </w:r>
            <w:r w:rsidR="00F00BED" w:rsidRPr="00524A62">
              <w:rPr>
                <w:noProof/>
                <w:webHidden/>
                <w:lang w:val="en-US"/>
              </w:rPr>
              <w:fldChar w:fldCharType="end"/>
            </w:r>
          </w:hyperlink>
        </w:p>
        <w:p w14:paraId="5E98E002" w14:textId="4676A32E" w:rsidR="00F00BED" w:rsidRPr="00524A62" w:rsidRDefault="00345883">
          <w:pPr>
            <w:pStyle w:val="TOC3"/>
            <w:tabs>
              <w:tab w:val="left" w:pos="1134"/>
              <w:tab w:val="right" w:leader="dot" w:pos="9062"/>
            </w:tabs>
            <w:rPr>
              <w:rFonts w:eastAsiaTheme="minorEastAsia"/>
              <w:noProof/>
              <w:lang w:val="en-US"/>
            </w:rPr>
          </w:pPr>
          <w:hyperlink w:anchor="_Toc219972887" w:history="1">
            <w:r w:rsidR="00F00BED" w:rsidRPr="00524A62">
              <w:rPr>
                <w:rStyle w:val="Hyperlink"/>
                <w:rFonts w:asciiTheme="majorHAnsi" w:hAnsiTheme="majorHAnsi" w:cstheme="majorHAnsi"/>
                <w:noProof/>
                <w:lang w:val="en-US"/>
              </w:rPr>
              <w:t>10.</w:t>
            </w:r>
            <w:r w:rsidR="00F00BED" w:rsidRPr="00524A62">
              <w:rPr>
                <w:rFonts w:eastAsiaTheme="minorEastAsia"/>
                <w:noProof/>
                <w:lang w:val="en-US"/>
              </w:rPr>
              <w:tab/>
            </w:r>
            <w:r w:rsidR="00F00BED" w:rsidRPr="00524A62">
              <w:rPr>
                <w:rStyle w:val="Hyperlink"/>
                <w:rFonts w:asciiTheme="majorHAnsi" w:hAnsiTheme="majorHAnsi" w:cstheme="majorHAnsi"/>
                <w:noProof/>
                <w:lang w:val="en-US"/>
              </w:rPr>
              <w:t>Carbon taxes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_Toc219972887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22</w:t>
            </w:r>
            <w:r w:rsidR="00F00BED" w:rsidRPr="00524A62">
              <w:rPr>
                <w:noProof/>
                <w:webHidden/>
                <w:lang w:val="en-US"/>
              </w:rPr>
              <w:fldChar w:fldCharType="end"/>
            </w:r>
          </w:hyperlink>
        </w:p>
        <w:p w14:paraId="29D698ED" w14:textId="399AA2B6" w:rsidR="00F00BED" w:rsidRPr="00524A62" w:rsidRDefault="00345883">
          <w:pPr>
            <w:pStyle w:val="TOC1"/>
            <w:tabs>
              <w:tab w:val="right" w:leader="dot" w:pos="9062"/>
            </w:tabs>
            <w:rPr>
              <w:rFonts w:eastAsiaTheme="minorEastAsia"/>
              <w:noProof/>
              <w:lang w:val="en-US"/>
            </w:rPr>
          </w:pPr>
          <w:hyperlink w:anchor="_Toc219972888" w:history="1">
            <w:r w:rsidR="00F00BED" w:rsidRPr="00524A62">
              <w:rPr>
                <w:rStyle w:val="Hyperlink"/>
                <w:noProof/>
                <w:lang w:val="en-US" w:eastAsia="en-IN"/>
              </w:rPr>
              <w:t xml:space="preserve">Annex 1: </w:t>
            </w:r>
            <w:r w:rsidR="00F00BED" w:rsidRPr="00524A62">
              <w:rPr>
                <w:rStyle w:val="Hyperlink"/>
                <w:noProof/>
                <w:lang w:val="en-US"/>
              </w:rPr>
              <w:t>transformation</w:t>
            </w:r>
            <w:r w:rsidR="00F00BED" w:rsidRPr="00524A62">
              <w:rPr>
                <w:rStyle w:val="Hyperlink"/>
                <w:noProof/>
                <w:lang w:val="en-US" w:eastAsia="en-IN"/>
              </w:rPr>
              <w:t xml:space="preserve"> and corrections of AURES II dataset</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_Toc219972888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23</w:t>
            </w:r>
            <w:r w:rsidR="00F00BED" w:rsidRPr="00524A62">
              <w:rPr>
                <w:noProof/>
                <w:webHidden/>
                <w:lang w:val="en-US"/>
              </w:rPr>
              <w:fldChar w:fldCharType="end"/>
            </w:r>
          </w:hyperlink>
        </w:p>
        <w:p w14:paraId="28B591AB" w14:textId="5A393BF4" w:rsidR="00F00BED" w:rsidRPr="00524A62" w:rsidRDefault="00345883">
          <w:pPr>
            <w:pStyle w:val="TOC1"/>
            <w:tabs>
              <w:tab w:val="right" w:leader="dot" w:pos="9062"/>
            </w:tabs>
            <w:rPr>
              <w:rFonts w:eastAsiaTheme="minorEastAsia"/>
              <w:noProof/>
              <w:lang w:val="en-US"/>
            </w:rPr>
          </w:pPr>
          <w:hyperlink w:anchor="_Toc219972889" w:history="1">
            <w:r w:rsidR="00F00BED" w:rsidRPr="00524A62">
              <w:rPr>
                <w:rStyle w:val="Hyperlink"/>
                <w:noProof/>
                <w:lang w:val="en-US" w:eastAsia="en-IN"/>
              </w:rPr>
              <w:t xml:space="preserve">Annex 2: Column names and </w:t>
            </w:r>
            <w:r w:rsidR="00F00BED" w:rsidRPr="00524A62">
              <w:rPr>
                <w:rStyle w:val="Hyperlink"/>
                <w:noProof/>
                <w:lang w:val="en-US"/>
              </w:rPr>
              <w:t>definitions</w:t>
            </w:r>
            <w:r w:rsidR="00F00BED" w:rsidRPr="00524A62">
              <w:rPr>
                <w:rStyle w:val="Hyperlink"/>
                <w:noProof/>
                <w:lang w:val="en-US" w:eastAsia="en-IN"/>
              </w:rPr>
              <w:t xml:space="preserve"> for the renewable energy policy support dataset</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_Toc219972889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26</w:t>
            </w:r>
            <w:r w:rsidR="00F00BED" w:rsidRPr="00524A62">
              <w:rPr>
                <w:noProof/>
                <w:webHidden/>
                <w:lang w:val="en-US"/>
              </w:rPr>
              <w:fldChar w:fldCharType="end"/>
            </w:r>
          </w:hyperlink>
        </w:p>
        <w:p w14:paraId="58A2113B" w14:textId="5C73F8A3" w:rsidR="00F00BED" w:rsidRPr="00524A62" w:rsidRDefault="00345883">
          <w:pPr>
            <w:pStyle w:val="TOC1"/>
            <w:tabs>
              <w:tab w:val="right" w:leader="dot" w:pos="9062"/>
            </w:tabs>
            <w:rPr>
              <w:rFonts w:eastAsiaTheme="minorEastAsia"/>
              <w:noProof/>
              <w:lang w:val="en-US"/>
            </w:rPr>
          </w:pPr>
          <w:hyperlink w:anchor="_Toc219972890" w:history="1">
            <w:r w:rsidR="00F00BED" w:rsidRPr="00524A62">
              <w:rPr>
                <w:rStyle w:val="Hyperlink"/>
                <w:noProof/>
                <w:lang w:val="en-US" w:eastAsia="en-IN"/>
              </w:rPr>
              <w:t>References</w:t>
            </w:r>
            <w:r w:rsidR="00F00BED" w:rsidRPr="00524A62">
              <w:rPr>
                <w:noProof/>
                <w:webHidden/>
                <w:lang w:val="en-US"/>
              </w:rPr>
              <w:tab/>
            </w:r>
            <w:r w:rsidR="00F00BED" w:rsidRPr="00524A62">
              <w:rPr>
                <w:noProof/>
                <w:webHidden/>
                <w:lang w:val="en-US"/>
              </w:rPr>
              <w:fldChar w:fldCharType="begin"/>
            </w:r>
            <w:r w:rsidR="00F00BED" w:rsidRPr="00524A62">
              <w:rPr>
                <w:noProof/>
                <w:webHidden/>
                <w:lang w:val="en-US"/>
              </w:rPr>
              <w:instrText xml:space="preserve"> PAGEREF _Toc219972890 \h </w:instrText>
            </w:r>
            <w:r w:rsidR="00F00BED" w:rsidRPr="00524A62">
              <w:rPr>
                <w:noProof/>
                <w:webHidden/>
                <w:lang w:val="en-US"/>
              </w:rPr>
            </w:r>
            <w:r w:rsidR="00F00BED" w:rsidRPr="00524A62">
              <w:rPr>
                <w:noProof/>
                <w:webHidden/>
                <w:lang w:val="en-US"/>
              </w:rPr>
              <w:fldChar w:fldCharType="separate"/>
            </w:r>
            <w:r w:rsidR="00F00BED" w:rsidRPr="00524A62">
              <w:rPr>
                <w:noProof/>
                <w:webHidden/>
                <w:lang w:val="en-US"/>
              </w:rPr>
              <w:t>30</w:t>
            </w:r>
            <w:r w:rsidR="00F00BED" w:rsidRPr="00524A62">
              <w:rPr>
                <w:noProof/>
                <w:webHidden/>
                <w:lang w:val="en-US"/>
              </w:rPr>
              <w:fldChar w:fldCharType="end"/>
            </w:r>
          </w:hyperlink>
        </w:p>
        <w:p w14:paraId="0D6B845F" w14:textId="5C7BE28B" w:rsidR="00142C41" w:rsidRPr="00524A62" w:rsidRDefault="00142C41">
          <w:pPr>
            <w:rPr>
              <w:lang w:val="en-US"/>
            </w:rPr>
          </w:pPr>
          <w:r w:rsidRPr="00524A62">
            <w:rPr>
              <w:b/>
              <w:bCs/>
              <w:noProof/>
              <w:lang w:val="en-US"/>
            </w:rPr>
            <w:fldChar w:fldCharType="end"/>
          </w:r>
        </w:p>
      </w:sdtContent>
    </w:sdt>
    <w:p w14:paraId="7784AB3A" w14:textId="77777777" w:rsidR="00AF1B95" w:rsidRPr="00524A62" w:rsidRDefault="00AF1B95" w:rsidP="00AF1B95">
      <w:pPr>
        <w:pStyle w:val="Heading1"/>
        <w:rPr>
          <w:lang w:val="en-US"/>
        </w:rPr>
      </w:pPr>
      <w:bookmarkStart w:id="1" w:name="_Toc219972858"/>
      <w:r w:rsidRPr="00524A62">
        <w:rPr>
          <w:lang w:val="en-US"/>
        </w:rPr>
        <w:lastRenderedPageBreak/>
        <w:t>General information</w:t>
      </w:r>
      <w:bookmarkEnd w:id="1"/>
    </w:p>
    <w:p w14:paraId="127DA9E9" w14:textId="06AF01BF" w:rsidR="00332616" w:rsidRPr="00524A62" w:rsidRDefault="00AF1B95" w:rsidP="00332616">
      <w:pPr>
        <w:rPr>
          <w:rFonts w:cstheme="minorHAnsi"/>
          <w:lang w:val="en-US"/>
        </w:rPr>
      </w:pPr>
      <w:r w:rsidRPr="00524A62">
        <w:rPr>
          <w:rFonts w:cstheme="minorHAnsi"/>
          <w:lang w:val="en-US"/>
        </w:rPr>
        <w:t xml:space="preserve">These datasets contain detailed, machine-readable data on support policies for renewable energy from the years 2000-2024 for </w:t>
      </w:r>
      <w:r w:rsidR="004A6876" w:rsidRPr="00524A62">
        <w:rPr>
          <w:rFonts w:cstheme="minorHAnsi"/>
          <w:lang w:val="en-US"/>
        </w:rPr>
        <w:t>all EU countries and the UK</w:t>
      </w:r>
      <w:r w:rsidRPr="00524A62">
        <w:rPr>
          <w:rFonts w:cstheme="minorHAnsi"/>
          <w:lang w:val="en-US"/>
        </w:rPr>
        <w:t xml:space="preserve">. </w:t>
      </w:r>
      <w:bookmarkStart w:id="2" w:name="_Hlk191653532"/>
      <w:bookmarkStart w:id="3" w:name="_Hlk191654364"/>
      <w:r w:rsidR="009C0613" w:rsidRPr="00524A62">
        <w:rPr>
          <w:rFonts w:cstheme="minorHAnsi"/>
          <w:lang w:val="en-US"/>
        </w:rPr>
        <w:t xml:space="preserve">The work was performed by </w:t>
      </w:r>
      <w:r w:rsidR="00332616" w:rsidRPr="00524A62">
        <w:rPr>
          <w:rFonts w:cstheme="minorHAnsi"/>
          <w:lang w:val="en-US"/>
        </w:rPr>
        <w:t>Silvia Wekoⁱ, Franziska Boldⁱ, Aksornchan Chaianongⁱ, Dogukan Günkördüⁱ, Daria Lebedevaⁱ, Puru Malhotra*</w:t>
      </w:r>
      <w:r w:rsidR="00C272F2" w:rsidRPr="00524A62">
        <w:rPr>
          <w:rFonts w:cstheme="minorHAnsi"/>
          <w:lang w:val="en-US"/>
        </w:rPr>
        <w:t>ⁱ</w:t>
      </w:r>
      <w:r w:rsidR="00332616" w:rsidRPr="00524A62">
        <w:rPr>
          <w:rFonts w:cstheme="minorHAnsi"/>
          <w:lang w:val="en-US"/>
        </w:rPr>
        <w:t>, Ioannis Milioritsasⁱ, Johannes Weißⁱ, and Johan Lilliestamⁱ</w:t>
      </w:r>
      <w:r w:rsidR="008C7CBD" w:rsidRPr="00524A62">
        <w:rPr>
          <w:rFonts w:cstheme="minorHAnsi"/>
          <w:lang w:val="en-US"/>
        </w:rPr>
        <w:t>, during 2024-2026.</w:t>
      </w:r>
    </w:p>
    <w:p w14:paraId="057D43A6" w14:textId="14B71A48" w:rsidR="00AF1B95" w:rsidRPr="00524A62" w:rsidRDefault="00AF1B95" w:rsidP="00AF1B95">
      <w:pPr>
        <w:rPr>
          <w:rFonts w:cstheme="minorHAnsi"/>
          <w:lang w:val="en-US"/>
        </w:rPr>
      </w:pPr>
      <w:r w:rsidRPr="00524A62">
        <w:rPr>
          <w:lang w:val="en-US"/>
        </w:rPr>
        <w:t xml:space="preserve">The data is published with CC BY-SA 4.0. </w:t>
      </w:r>
      <w:bookmarkEnd w:id="2"/>
      <w:r w:rsidRPr="00524A62">
        <w:rPr>
          <w:rFonts w:cstheme="minorHAnsi"/>
          <w:lang w:val="en-US"/>
        </w:rPr>
        <w:t xml:space="preserve">The dataset should be cited as: </w:t>
      </w:r>
    </w:p>
    <w:p w14:paraId="2260F511" w14:textId="7E5CCAF5" w:rsidR="005D5DE0" w:rsidRPr="00524A62" w:rsidRDefault="005D5DE0" w:rsidP="005D5DE0">
      <w:pPr>
        <w:jc w:val="thaiDistribute"/>
        <w:rPr>
          <w:lang w:val="en-US"/>
        </w:rPr>
      </w:pPr>
      <w:r w:rsidRPr="00524A62">
        <w:rPr>
          <w:rFonts w:cstheme="minorHAnsi"/>
          <w:lang w:val="en-US"/>
        </w:rPr>
        <w:t xml:space="preserve">Weko, S., Bold, F., Chaianong, A., Günkördü, D., </w:t>
      </w:r>
      <w:r w:rsidR="00002CAA" w:rsidRPr="00524A62">
        <w:rPr>
          <w:rFonts w:cstheme="minorHAnsi"/>
          <w:lang w:val="en-US"/>
        </w:rPr>
        <w:t xml:space="preserve">Lebedeva, D.,  </w:t>
      </w:r>
      <w:r w:rsidR="00D704D5" w:rsidRPr="00524A62">
        <w:rPr>
          <w:rFonts w:cstheme="minorHAnsi"/>
          <w:lang w:val="en-US"/>
        </w:rPr>
        <w:t xml:space="preserve">Malhotra, P., </w:t>
      </w:r>
      <w:r w:rsidRPr="00524A62">
        <w:rPr>
          <w:rFonts w:cstheme="minorHAnsi"/>
          <w:lang w:val="en-US"/>
        </w:rPr>
        <w:t xml:space="preserve">Milioritsas, I., </w:t>
      </w:r>
      <w:r w:rsidR="003C3924" w:rsidRPr="00524A62">
        <w:rPr>
          <w:rFonts w:cstheme="minorHAnsi"/>
          <w:lang w:val="en-US"/>
        </w:rPr>
        <w:t xml:space="preserve">Weiß, J., </w:t>
      </w:r>
      <w:r w:rsidRPr="00524A62">
        <w:rPr>
          <w:rFonts w:cstheme="minorHAnsi"/>
          <w:lang w:val="en-US"/>
        </w:rPr>
        <w:t>and Lilliestam, J. (202</w:t>
      </w:r>
      <w:r w:rsidR="006A1F2F" w:rsidRPr="00524A62">
        <w:rPr>
          <w:rFonts w:cstheme="minorHAnsi"/>
          <w:lang w:val="en-US"/>
        </w:rPr>
        <w:t>6</w:t>
      </w:r>
      <w:r w:rsidRPr="00524A62">
        <w:rPr>
          <w:rFonts w:cstheme="minorHAnsi"/>
          <w:lang w:val="en-US"/>
        </w:rPr>
        <w:t xml:space="preserve">): Data on policy support for renewable electricity (Version 1, </w:t>
      </w:r>
      <w:r w:rsidR="003C3924" w:rsidRPr="00524A62">
        <w:rPr>
          <w:rFonts w:cstheme="minorHAnsi"/>
          <w:lang w:val="en-US"/>
        </w:rPr>
        <w:t>January 2026</w:t>
      </w:r>
      <w:r w:rsidRPr="00524A62">
        <w:rPr>
          <w:rFonts w:cstheme="minorHAnsi"/>
          <w:lang w:val="en-US"/>
        </w:rPr>
        <w:t xml:space="preserve">). </w:t>
      </w:r>
      <w:r w:rsidRPr="00524A62">
        <w:rPr>
          <w:lang w:val="en-US"/>
        </w:rPr>
        <w:t xml:space="preserve">Friedrich-Alexander-Universität Erlangen-Nürnberg. DOI: </w:t>
      </w:r>
      <w:r w:rsidR="000E6385" w:rsidRPr="00524A62">
        <w:rPr>
          <w:lang w:val="en-US"/>
        </w:rPr>
        <w:t xml:space="preserve">10.5281/zenodo.18327812 </w:t>
      </w:r>
    </w:p>
    <w:p w14:paraId="6F820C62" w14:textId="465C6AC7" w:rsidR="00770F37" w:rsidRPr="00524A62" w:rsidRDefault="00770F37" w:rsidP="005D5DE0">
      <w:pPr>
        <w:jc w:val="thaiDistribute"/>
        <w:rPr>
          <w:lang w:val="en-US"/>
        </w:rPr>
      </w:pPr>
      <w:r w:rsidRPr="00524A62">
        <w:rPr>
          <w:lang w:val="en-US"/>
        </w:rPr>
        <w:t xml:space="preserve">Note that if you use data on carbon pricing or emissions trading, these are </w:t>
      </w:r>
      <w:r w:rsidRPr="00524A62">
        <w:rPr>
          <w:rFonts w:cstheme="minorHAnsi"/>
          <w:lang w:val="en-US"/>
        </w:rPr>
        <w:t>from the World Bank Carbon Pricing Dashboard, and must be cited as such for subsequent analyses.</w:t>
      </w:r>
    </w:p>
    <w:bookmarkEnd w:id="3"/>
    <w:p w14:paraId="66E6955D" w14:textId="42D10DCE" w:rsidR="00E77180" w:rsidRPr="00524A62" w:rsidRDefault="003D2D0F" w:rsidP="00E77180">
      <w:pPr>
        <w:rPr>
          <w:rFonts w:cstheme="minorHAnsi"/>
          <w:lang w:val="en-US"/>
        </w:rPr>
      </w:pPr>
      <w:r w:rsidRPr="00524A62">
        <w:rPr>
          <w:rFonts w:cstheme="minorHAnsi"/>
          <w:lang w:val="en-US"/>
        </w:rPr>
        <w:t>Should you find errors or have data to fill gaps, please contact climatepolicyatlas@nfdi4energy.org, referencing the serial number provided in the column “serial_number”.</w:t>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eastAsia="Times New Roman" w:cstheme="minorHAnsi"/>
          <w:color w:val="000000"/>
          <w:lang w:val="en-US" w:eastAsia="en-IN"/>
        </w:rPr>
        <w:br/>
      </w:r>
      <w:r w:rsidR="00E77180" w:rsidRPr="00524A62">
        <w:rPr>
          <w:rFonts w:cstheme="minorHAnsi"/>
          <w:lang w:val="en-US"/>
        </w:rPr>
        <w:t>ⁱ: FAU Erlangen-Nuremberg, Chair of Sustainability Transition Policy</w:t>
      </w:r>
    </w:p>
    <w:p w14:paraId="551D0DAD" w14:textId="091BFEFF" w:rsidR="00AF1B95" w:rsidRPr="00524A62" w:rsidRDefault="00E77180" w:rsidP="00AF1B95">
      <w:pPr>
        <w:rPr>
          <w:rFonts w:cstheme="minorHAnsi"/>
          <w:lang w:val="en-US"/>
        </w:rPr>
      </w:pPr>
      <w:r w:rsidRPr="00524A62">
        <w:rPr>
          <w:rFonts w:cstheme="minorHAnsi"/>
          <w:lang w:val="en-US"/>
        </w:rPr>
        <w:t>*: FAU Erlangen-Nuremberg, Center for Human Rights Erlangen-Nürnberg (FAU CHREN)</w:t>
      </w:r>
    </w:p>
    <w:p w14:paraId="56A293FE" w14:textId="06D12B4D" w:rsidR="00AF1B95" w:rsidRPr="00524A62" w:rsidRDefault="00AF1B95" w:rsidP="00AF1B95">
      <w:pPr>
        <w:pStyle w:val="Heading1"/>
        <w:rPr>
          <w:lang w:val="en-US"/>
        </w:rPr>
      </w:pPr>
      <w:bookmarkStart w:id="4" w:name="_Toc219972859"/>
      <w:r w:rsidRPr="00524A62">
        <w:rPr>
          <w:lang w:val="en-US"/>
        </w:rPr>
        <w:lastRenderedPageBreak/>
        <w:t>About the data</w:t>
      </w:r>
      <w:bookmarkEnd w:id="4"/>
    </w:p>
    <w:p w14:paraId="36145190" w14:textId="77777777" w:rsidR="00AF1B95" w:rsidRPr="00524A62" w:rsidRDefault="00AF1B95" w:rsidP="00AF1B95">
      <w:pPr>
        <w:pStyle w:val="Heading2"/>
        <w:rPr>
          <w:rFonts w:asciiTheme="minorHAnsi" w:hAnsiTheme="minorHAnsi" w:cstheme="minorHAnsi"/>
          <w:lang w:val="en-US"/>
        </w:rPr>
      </w:pPr>
      <w:bookmarkStart w:id="5" w:name="_Toc219972860"/>
      <w:r w:rsidRPr="00524A62">
        <w:rPr>
          <w:rFonts w:asciiTheme="minorHAnsi" w:hAnsiTheme="minorHAnsi" w:cstheme="minorHAnsi"/>
          <w:lang w:val="en-US"/>
        </w:rPr>
        <w:t>Data sources</w:t>
      </w:r>
      <w:bookmarkEnd w:id="5"/>
    </w:p>
    <w:p w14:paraId="2D3FCC33" w14:textId="6B8DD223" w:rsidR="00347154" w:rsidRPr="00524A62" w:rsidRDefault="00AF1B95" w:rsidP="00AF1B95">
      <w:pPr>
        <w:rPr>
          <w:rFonts w:cstheme="minorHAnsi"/>
          <w:lang w:val="en-US"/>
        </w:rPr>
      </w:pPr>
      <w:r w:rsidRPr="00524A62">
        <w:rPr>
          <w:rFonts w:cstheme="minorHAnsi"/>
          <w:lang w:val="en-US"/>
        </w:rPr>
        <w:t xml:space="preserve">The data are derived from publicly available sources. </w:t>
      </w:r>
      <w:r w:rsidR="00284723" w:rsidRPr="00524A62">
        <w:rPr>
          <w:rFonts w:cstheme="minorHAnsi"/>
          <w:lang w:val="en-US"/>
        </w:rPr>
        <w:t>The main source upon which our dataset builds is “The global renewable power support dataset”, Hafner, S. &amp; Lilliestam, J. (2019). This data can be accessed at https://doi.org/ 10.5281/zenodo.3371375. The data from this source go up until 2016 and in some cases 2017. However, we make a number of changes to this dataset and its structure to make it machine-readable and more easily accessible</w:t>
      </w:r>
      <w:r w:rsidR="00582312" w:rsidRPr="00524A62">
        <w:rPr>
          <w:rFonts w:cstheme="minorHAnsi"/>
          <w:lang w:val="en-US"/>
        </w:rPr>
        <w:t xml:space="preserve">. </w:t>
      </w:r>
      <w:r w:rsidR="00284723" w:rsidRPr="00524A62">
        <w:rPr>
          <w:rFonts w:cstheme="minorHAnsi"/>
          <w:lang w:val="en-US"/>
        </w:rPr>
        <w:t xml:space="preserve"> </w:t>
      </w:r>
    </w:p>
    <w:p w14:paraId="4489D66E" w14:textId="2F5ED1FE" w:rsidR="00AF1B95" w:rsidRPr="00524A62" w:rsidRDefault="00284723" w:rsidP="00AF1B95">
      <w:pPr>
        <w:rPr>
          <w:rFonts w:cstheme="minorHAnsi"/>
          <w:lang w:val="en-US"/>
        </w:rPr>
      </w:pPr>
      <w:r w:rsidRPr="00524A62">
        <w:rPr>
          <w:rFonts w:cstheme="minorHAnsi"/>
          <w:lang w:val="en-US"/>
        </w:rPr>
        <w:t xml:space="preserve">In addition, we conduct further research on renewable energy and to complete the dataset. </w:t>
      </w:r>
      <w:r w:rsidR="005D5DE0" w:rsidRPr="00524A62">
        <w:rPr>
          <w:rFonts w:cstheme="minorHAnsi"/>
          <w:lang w:val="en-US"/>
        </w:rPr>
        <w:t>Data</w:t>
      </w:r>
      <w:r w:rsidR="00AF1B95" w:rsidRPr="00524A62">
        <w:rPr>
          <w:rFonts w:cstheme="minorHAnsi"/>
          <w:lang w:val="en-US"/>
        </w:rPr>
        <w:t xml:space="preserve"> was gathered using publicly available sources including Climate Policy Radar, Climate Policy Database, the IEA, RES-legal.eu, World Bank,</w:t>
      </w:r>
      <w:r w:rsidR="00B4415B" w:rsidRPr="00524A62">
        <w:rPr>
          <w:rFonts w:cstheme="minorHAnsi"/>
          <w:lang w:val="en-US"/>
        </w:rPr>
        <w:t xml:space="preserve"> the AURES II project, the</w:t>
      </w:r>
      <w:r w:rsidR="00AF1B95" w:rsidRPr="00524A62">
        <w:rPr>
          <w:rFonts w:cstheme="minorHAnsi"/>
          <w:lang w:val="en-US"/>
        </w:rPr>
        <w:t xml:space="preserve"> OECD, IRENA, relevant national ministries, industry bodies, and other websites.</w:t>
      </w:r>
    </w:p>
    <w:p w14:paraId="76F420FC" w14:textId="77777777" w:rsidR="00AF1B95" w:rsidRPr="00524A62" w:rsidRDefault="00AF1B95" w:rsidP="00AF1B95">
      <w:pPr>
        <w:rPr>
          <w:rFonts w:cstheme="minorHAnsi"/>
          <w:lang w:val="en-US"/>
        </w:rPr>
      </w:pPr>
      <w:r w:rsidRPr="00524A62">
        <w:rPr>
          <w:rFonts w:cstheme="minorHAnsi"/>
          <w:lang w:val="en-US"/>
        </w:rPr>
        <w:t>Information about the source of each individual observation can be found in the column “source”. Data from secondary sources include original source URLs, some of which are no longer valid. When possible, we have replaced these broken links with the archived version from the Internet Archive Wayback Machine.</w:t>
      </w:r>
    </w:p>
    <w:p w14:paraId="016DE0B6" w14:textId="07B81FCD" w:rsidR="0049018D" w:rsidRPr="00524A62" w:rsidRDefault="0049018D" w:rsidP="00D3255F">
      <w:pPr>
        <w:pStyle w:val="Heading1"/>
        <w:rPr>
          <w:lang w:val="en-US"/>
        </w:rPr>
      </w:pPr>
      <w:bookmarkStart w:id="6" w:name="_Toc219972861"/>
      <w:r w:rsidRPr="00524A62">
        <w:rPr>
          <w:lang w:val="en-US"/>
        </w:rPr>
        <w:t>Data overview: time, jurisdictions, and technological scope</w:t>
      </w:r>
      <w:bookmarkEnd w:id="6"/>
    </w:p>
    <w:p w14:paraId="6F525060" w14:textId="77777777" w:rsidR="0049018D" w:rsidRPr="00524A62" w:rsidRDefault="0049018D" w:rsidP="0049018D">
      <w:pPr>
        <w:rPr>
          <w:rFonts w:cstheme="minorHAnsi"/>
          <w:lang w:val="en-US"/>
        </w:rPr>
      </w:pPr>
      <w:r w:rsidRPr="00524A62">
        <w:rPr>
          <w:rFonts w:cstheme="minorHAnsi"/>
          <w:b/>
          <w:bCs/>
          <w:lang w:val="en-US"/>
        </w:rPr>
        <w:t>Time:</w:t>
      </w:r>
      <w:r w:rsidRPr="00524A62">
        <w:rPr>
          <w:rFonts w:cstheme="minorHAnsi"/>
          <w:lang w:val="en-US"/>
        </w:rPr>
        <w:t xml:space="preserve"> We record data for the years 2000-2022. There are some observations available for 2023 and 2024, but some data (especially tenders) may not yet be completed, and these should only be used with caution until further updates are completed. </w:t>
      </w:r>
    </w:p>
    <w:p w14:paraId="43E25DCD" w14:textId="0E876475" w:rsidR="0049018D" w:rsidRPr="00524A62" w:rsidRDefault="0049018D" w:rsidP="0049018D">
      <w:pPr>
        <w:rPr>
          <w:rFonts w:cstheme="minorHAnsi"/>
          <w:lang w:val="en-US"/>
        </w:rPr>
      </w:pPr>
      <w:r w:rsidRPr="00524A62">
        <w:rPr>
          <w:rFonts w:cstheme="minorHAnsi"/>
          <w:b/>
          <w:bCs/>
          <w:lang w:val="en-US"/>
        </w:rPr>
        <w:t>Jurisdictions:</w:t>
      </w:r>
      <w:r w:rsidRPr="00524A62">
        <w:rPr>
          <w:rFonts w:cstheme="minorHAnsi"/>
          <w:lang w:val="en-US"/>
        </w:rPr>
        <w:t xml:space="preserve"> The datasets focus on national policy instruments. They do not include higher-level policies like the EU level or lower-level policies like the federal states or cities.</w:t>
      </w:r>
      <w:r w:rsidR="00BD006D" w:rsidRPr="00524A62">
        <w:rPr>
          <w:rStyle w:val="FootnoteReference"/>
          <w:rFonts w:cstheme="minorHAnsi"/>
          <w:lang w:val="en-US"/>
        </w:rPr>
        <w:footnoteReference w:id="1"/>
      </w:r>
      <w:r w:rsidRPr="00524A62">
        <w:rPr>
          <w:rFonts w:cstheme="minorHAnsi"/>
          <w:lang w:val="en-US"/>
        </w:rPr>
        <w:t xml:space="preserve"> </w:t>
      </w:r>
    </w:p>
    <w:p w14:paraId="5E354847" w14:textId="53491C83" w:rsidR="0049018D" w:rsidRPr="00524A62" w:rsidRDefault="0049018D" w:rsidP="0049018D">
      <w:pPr>
        <w:rPr>
          <w:rFonts w:cstheme="minorHAnsi"/>
          <w:lang w:val="en-US"/>
        </w:rPr>
      </w:pPr>
      <w:r w:rsidRPr="00524A62">
        <w:rPr>
          <w:rFonts w:cstheme="minorHAnsi"/>
          <w:b/>
          <w:bCs/>
          <w:lang w:val="en-US"/>
        </w:rPr>
        <w:t>Technological scope</w:t>
      </w:r>
      <w:r w:rsidRPr="00524A62">
        <w:rPr>
          <w:rFonts w:cstheme="minorHAnsi"/>
          <w:lang w:val="en-US"/>
        </w:rPr>
        <w:t>: The datasets cover policies that support renewable electricity. The following technologies are included:</w:t>
      </w:r>
    </w:p>
    <w:p w14:paraId="3D22BE95" w14:textId="1152ACCC" w:rsidR="0049018D" w:rsidRPr="00524A62" w:rsidRDefault="0049018D" w:rsidP="0049018D">
      <w:pPr>
        <w:pStyle w:val="Caption"/>
        <w:keepNext/>
        <w:rPr>
          <w:lang w:val="en-US"/>
        </w:rPr>
      </w:pPr>
      <w:r w:rsidRPr="00524A62">
        <w:rPr>
          <w:lang w:val="en-US"/>
        </w:rPr>
        <w:t xml:space="preserve">Table </w:t>
      </w:r>
      <w:r w:rsidRPr="00524A62">
        <w:rPr>
          <w:lang w:val="en-US"/>
        </w:rPr>
        <w:fldChar w:fldCharType="begin"/>
      </w:r>
      <w:r w:rsidRPr="00524A62">
        <w:rPr>
          <w:lang w:val="en-US"/>
        </w:rPr>
        <w:instrText xml:space="preserve"> SEQ Table \* ARABIC </w:instrText>
      </w:r>
      <w:r w:rsidRPr="00524A62">
        <w:rPr>
          <w:lang w:val="en-US"/>
        </w:rPr>
        <w:fldChar w:fldCharType="separate"/>
      </w:r>
      <w:r w:rsidR="006C4368" w:rsidRPr="00524A62">
        <w:rPr>
          <w:noProof/>
          <w:lang w:val="en-US"/>
        </w:rPr>
        <w:t>1</w:t>
      </w:r>
      <w:r w:rsidRPr="00524A62">
        <w:rPr>
          <w:noProof/>
          <w:lang w:val="en-US"/>
        </w:rPr>
        <w:fldChar w:fldCharType="end"/>
      </w:r>
      <w:r w:rsidRPr="00524A62">
        <w:rPr>
          <w:lang w:val="en-US"/>
        </w:rPr>
        <w:t>: Technologies included in the dataset</w:t>
      </w:r>
    </w:p>
    <w:tbl>
      <w:tblPr>
        <w:tblStyle w:val="TableGrid"/>
        <w:tblW w:w="0" w:type="auto"/>
        <w:tblLook w:val="04A0" w:firstRow="1" w:lastRow="0" w:firstColumn="1" w:lastColumn="0" w:noHBand="0" w:noVBand="1"/>
      </w:tblPr>
      <w:tblGrid>
        <w:gridCol w:w="2383"/>
        <w:gridCol w:w="3265"/>
        <w:gridCol w:w="3265"/>
      </w:tblGrid>
      <w:tr w:rsidR="0049018D" w:rsidRPr="00524A62" w14:paraId="4EBF9B92" w14:textId="77777777" w:rsidTr="0005606D">
        <w:trPr>
          <w:trHeight w:val="19"/>
        </w:trPr>
        <w:tc>
          <w:tcPr>
            <w:tcW w:w="2383" w:type="dxa"/>
          </w:tcPr>
          <w:p w14:paraId="78F63E74" w14:textId="77777777" w:rsidR="0049018D" w:rsidRPr="00524A62" w:rsidRDefault="0049018D" w:rsidP="0005606D">
            <w:pPr>
              <w:rPr>
                <w:rFonts w:cstheme="minorHAnsi"/>
                <w:b/>
                <w:bCs/>
                <w:lang w:val="en-US"/>
              </w:rPr>
            </w:pPr>
            <w:r w:rsidRPr="00524A62">
              <w:rPr>
                <w:rFonts w:cstheme="minorHAnsi"/>
                <w:b/>
                <w:bCs/>
                <w:lang w:val="en-US"/>
              </w:rPr>
              <w:t>Data type</w:t>
            </w:r>
          </w:p>
        </w:tc>
        <w:tc>
          <w:tcPr>
            <w:tcW w:w="3265" w:type="dxa"/>
          </w:tcPr>
          <w:p w14:paraId="19C6F0AA" w14:textId="77777777" w:rsidR="0049018D" w:rsidRPr="00524A62" w:rsidRDefault="0049018D" w:rsidP="0005606D">
            <w:pPr>
              <w:rPr>
                <w:rFonts w:cstheme="minorHAnsi"/>
                <w:b/>
                <w:bCs/>
                <w:lang w:val="en-US"/>
              </w:rPr>
            </w:pPr>
            <w:r w:rsidRPr="00524A62">
              <w:rPr>
                <w:rFonts w:cstheme="minorHAnsi"/>
                <w:b/>
                <w:bCs/>
                <w:lang w:val="en-US"/>
              </w:rPr>
              <w:t>Technologies included</w:t>
            </w:r>
          </w:p>
        </w:tc>
        <w:tc>
          <w:tcPr>
            <w:tcW w:w="3265" w:type="dxa"/>
          </w:tcPr>
          <w:p w14:paraId="000B5B71" w14:textId="77777777" w:rsidR="0049018D" w:rsidRPr="00524A62" w:rsidRDefault="0049018D" w:rsidP="0005606D">
            <w:pPr>
              <w:rPr>
                <w:rFonts w:cstheme="minorHAnsi"/>
                <w:b/>
                <w:bCs/>
                <w:lang w:val="en-US"/>
              </w:rPr>
            </w:pPr>
            <w:r w:rsidRPr="00524A62">
              <w:rPr>
                <w:rFonts w:cstheme="minorHAnsi"/>
                <w:b/>
                <w:bCs/>
                <w:lang w:val="en-US"/>
              </w:rPr>
              <w:t>Technologies excluded</w:t>
            </w:r>
          </w:p>
        </w:tc>
      </w:tr>
      <w:tr w:rsidR="0049018D" w:rsidRPr="008D4356" w14:paraId="69B7ECED" w14:textId="77777777" w:rsidTr="0005606D">
        <w:trPr>
          <w:trHeight w:val="19"/>
        </w:trPr>
        <w:tc>
          <w:tcPr>
            <w:tcW w:w="2383" w:type="dxa"/>
          </w:tcPr>
          <w:p w14:paraId="27C01F9C" w14:textId="77777777" w:rsidR="0049018D" w:rsidRPr="00524A62" w:rsidRDefault="0049018D" w:rsidP="0005606D">
            <w:pPr>
              <w:rPr>
                <w:rFonts w:cstheme="minorHAnsi"/>
                <w:lang w:val="en-US"/>
              </w:rPr>
            </w:pPr>
            <w:r w:rsidRPr="00524A62">
              <w:rPr>
                <w:rFonts w:cstheme="minorHAnsi"/>
                <w:lang w:val="en-US"/>
              </w:rPr>
              <w:t>Renewable electricity generation</w:t>
            </w:r>
          </w:p>
        </w:tc>
        <w:tc>
          <w:tcPr>
            <w:tcW w:w="3265" w:type="dxa"/>
          </w:tcPr>
          <w:p w14:paraId="1089768C" w14:textId="77777777" w:rsidR="0049018D" w:rsidRPr="00524A62" w:rsidRDefault="0049018D" w:rsidP="0005606D">
            <w:pPr>
              <w:rPr>
                <w:rFonts w:cstheme="minorHAnsi"/>
                <w:lang w:val="en-US"/>
              </w:rPr>
            </w:pPr>
            <w:r w:rsidRPr="00524A62">
              <w:rPr>
                <w:rFonts w:cstheme="minorHAnsi"/>
                <w:lang w:val="en-US"/>
              </w:rPr>
              <w:t>Bioenergy</w:t>
            </w:r>
          </w:p>
          <w:p w14:paraId="0495884B" w14:textId="7C059FEE" w:rsidR="0049018D" w:rsidRPr="00524A62" w:rsidRDefault="0049018D" w:rsidP="0005606D">
            <w:pPr>
              <w:rPr>
                <w:rFonts w:cstheme="minorHAnsi"/>
                <w:lang w:val="en-US"/>
              </w:rPr>
            </w:pPr>
            <w:r w:rsidRPr="00524A62">
              <w:rPr>
                <w:rFonts w:cstheme="minorHAnsi"/>
                <w:lang w:val="en-US"/>
              </w:rPr>
              <w:t>C</w:t>
            </w:r>
            <w:r w:rsidR="005767DB" w:rsidRPr="00524A62">
              <w:rPr>
                <w:rFonts w:cstheme="minorHAnsi"/>
                <w:lang w:val="en-US"/>
              </w:rPr>
              <w:t xml:space="preserve">oncentrated Solar </w:t>
            </w:r>
            <w:r w:rsidRPr="00524A62">
              <w:rPr>
                <w:rFonts w:cstheme="minorHAnsi"/>
                <w:lang w:val="en-US"/>
              </w:rPr>
              <w:t>P</w:t>
            </w:r>
            <w:r w:rsidR="005767DB" w:rsidRPr="00524A62">
              <w:rPr>
                <w:rFonts w:cstheme="minorHAnsi"/>
                <w:lang w:val="en-US"/>
              </w:rPr>
              <w:t>ower (CSP)</w:t>
            </w:r>
          </w:p>
          <w:p w14:paraId="779A57E5" w14:textId="2E04EF3D" w:rsidR="0049018D" w:rsidRPr="00524A62" w:rsidRDefault="0049018D" w:rsidP="0005606D">
            <w:pPr>
              <w:rPr>
                <w:rFonts w:cstheme="minorHAnsi"/>
                <w:lang w:val="en-US"/>
              </w:rPr>
            </w:pPr>
            <w:r w:rsidRPr="00524A62">
              <w:rPr>
                <w:rFonts w:cstheme="minorHAnsi"/>
                <w:lang w:val="en-US"/>
              </w:rPr>
              <w:t>Wind (onshore and offshore)</w:t>
            </w:r>
          </w:p>
          <w:p w14:paraId="772AE44C" w14:textId="5ADD033D" w:rsidR="0049018D" w:rsidRPr="00524A62" w:rsidRDefault="0049018D" w:rsidP="0005606D">
            <w:pPr>
              <w:rPr>
                <w:rFonts w:cstheme="minorHAnsi"/>
                <w:lang w:val="en-US"/>
              </w:rPr>
            </w:pPr>
            <w:r w:rsidRPr="00524A62">
              <w:rPr>
                <w:rFonts w:cstheme="minorHAnsi"/>
                <w:lang w:val="en-US"/>
              </w:rPr>
              <w:t>PV (</w:t>
            </w:r>
            <w:r w:rsidR="00264CC3" w:rsidRPr="00524A62">
              <w:rPr>
                <w:rFonts w:cstheme="minorHAnsi"/>
                <w:lang w:val="en-US"/>
              </w:rPr>
              <w:t>rooftop</w:t>
            </w:r>
            <w:r w:rsidRPr="00524A62">
              <w:rPr>
                <w:rFonts w:cstheme="minorHAnsi"/>
                <w:lang w:val="en-US"/>
              </w:rPr>
              <w:t xml:space="preserve"> and field)</w:t>
            </w:r>
          </w:p>
        </w:tc>
        <w:tc>
          <w:tcPr>
            <w:tcW w:w="3265" w:type="dxa"/>
          </w:tcPr>
          <w:p w14:paraId="43853E68" w14:textId="43C3DEC8" w:rsidR="0049018D" w:rsidRPr="00524A62" w:rsidRDefault="0049018D" w:rsidP="0005606D">
            <w:pPr>
              <w:rPr>
                <w:rFonts w:cstheme="minorHAnsi"/>
                <w:lang w:val="en-US"/>
              </w:rPr>
            </w:pPr>
            <w:r w:rsidRPr="00524A62">
              <w:rPr>
                <w:rFonts w:cstheme="minorHAnsi"/>
                <w:lang w:val="en-US"/>
              </w:rPr>
              <w:t>Hydropower, geothermal, batteries</w:t>
            </w:r>
            <w:r w:rsidR="00E734F6" w:rsidRPr="00524A62">
              <w:rPr>
                <w:rFonts w:cstheme="minorHAnsi"/>
                <w:lang w:val="en-US"/>
              </w:rPr>
              <w:t>, combined heat and power generation</w:t>
            </w:r>
          </w:p>
        </w:tc>
      </w:tr>
    </w:tbl>
    <w:p w14:paraId="3D2944E0" w14:textId="77777777" w:rsidR="0049018D" w:rsidRPr="00524A62" w:rsidRDefault="0049018D" w:rsidP="0049018D">
      <w:pPr>
        <w:rPr>
          <w:rFonts w:cstheme="minorHAnsi"/>
          <w:lang w:val="en-US"/>
        </w:rPr>
      </w:pPr>
    </w:p>
    <w:p w14:paraId="1C5165D0" w14:textId="4AF10D14" w:rsidR="0049018D" w:rsidRPr="00524A62" w:rsidRDefault="0049018D" w:rsidP="0049018D">
      <w:pPr>
        <w:rPr>
          <w:rFonts w:cstheme="minorHAnsi"/>
          <w:highlight w:val="yellow"/>
          <w:lang w:val="en-US"/>
        </w:rPr>
      </w:pPr>
      <w:r w:rsidRPr="00524A62">
        <w:rPr>
          <w:rFonts w:cstheme="minorHAnsi"/>
          <w:lang w:val="en-US"/>
        </w:rPr>
        <w:t>We also record information on policies when they apply to multiple different kinds of technologies.</w:t>
      </w:r>
      <w:r w:rsidR="0042076A" w:rsidRPr="00524A62">
        <w:rPr>
          <w:rFonts w:cstheme="minorHAnsi"/>
          <w:lang w:val="en-US"/>
        </w:rPr>
        <w:t xml:space="preserve"> </w:t>
      </w:r>
      <w:r w:rsidRPr="00524A62">
        <w:rPr>
          <w:rFonts w:cstheme="minorHAnsi"/>
          <w:lang w:val="en-US"/>
        </w:rPr>
        <w:t>More details on how specific instances are coded can be found in the section 3.2, “Affected Technologies”.</w:t>
      </w:r>
    </w:p>
    <w:p w14:paraId="630EA75A" w14:textId="443710D2" w:rsidR="00D3255F" w:rsidRPr="00524A62" w:rsidRDefault="0049018D" w:rsidP="00D3255F">
      <w:pPr>
        <w:pStyle w:val="Heading1"/>
        <w:spacing w:before="60"/>
        <w:rPr>
          <w:lang w:val="en-US"/>
        </w:rPr>
      </w:pPr>
      <w:bookmarkStart w:id="7" w:name="_Toc219972862"/>
      <w:r w:rsidRPr="00524A62">
        <w:rPr>
          <w:lang w:val="en-US"/>
        </w:rPr>
        <w:t>Scope: which policy instruments are recorded?</w:t>
      </w:r>
      <w:bookmarkEnd w:id="7"/>
    </w:p>
    <w:p w14:paraId="2CDC326F" w14:textId="635BCD40" w:rsidR="0049018D" w:rsidRPr="00524A62" w:rsidRDefault="0049018D" w:rsidP="0049018D">
      <w:pPr>
        <w:rPr>
          <w:rFonts w:cstheme="minorHAnsi"/>
          <w:lang w:val="en-US"/>
        </w:rPr>
      </w:pPr>
      <w:r w:rsidRPr="00524A62">
        <w:rPr>
          <w:rFonts w:cstheme="minorHAnsi"/>
          <w:lang w:val="en-US"/>
        </w:rPr>
        <w:t>For policy support data, our focus is on public policies, which we define as “efforts made by governments to alter aspects of their own or social behavior in order to carry out some end or purpose and are comprised of complex arrangements of policy goals and policy means”</w:t>
      </w:r>
      <w:r w:rsidR="00C212D1" w:rsidRPr="00524A62">
        <w:rPr>
          <w:rFonts w:cstheme="minorHAnsi"/>
          <w:lang w:val="en-US"/>
        </w:rPr>
        <w:t xml:space="preserve"> </w:t>
      </w:r>
      <w:r w:rsidR="00C212D1" w:rsidRPr="00524A62">
        <w:rPr>
          <w:rFonts w:cstheme="minorHAnsi"/>
          <w:lang w:val="en-US"/>
        </w:rPr>
        <w:fldChar w:fldCharType="begin"/>
      </w:r>
      <w:r w:rsidR="00C212D1" w:rsidRPr="00524A62">
        <w:rPr>
          <w:rFonts w:cstheme="minorHAnsi"/>
          <w:lang w:val="en-US"/>
        </w:rPr>
        <w:instrText xml:space="preserve"> ADDIN EN.CITE &lt;EndNote&gt;&lt;Cite&gt;&lt;Author&gt;Howlett&lt;/Author&gt;&lt;Year&gt;2014&lt;/Year&gt;&lt;RecNum&gt;2041&lt;/RecNum&gt;&lt;DisplayText&gt;(Howlett, 2014)&lt;/DisplayText&gt;&lt;record&gt;&lt;rec-number&gt;2041&lt;/rec-number&gt;&lt;foreign-keys&gt;&lt;key app="EN" db-id="wsa2dvxxwrf5z7et59bpfs5z9w5d95pfsdr2" timestamp="1739824982"&gt;2041&lt;/key&gt;&lt;/foreign-keys&gt;&lt;ref-type name="Book Section"&gt;5&lt;/ref-type&gt;&lt;contributors&gt;&lt;authors&gt;&lt;author&gt;Howlett, M&lt;/author&gt;&lt;/authors&gt;&lt;secondary-authors&gt;&lt;author&gt;Halpern, C., Lascoumes, P. and Le Galès, P.&lt;/author&gt;&lt;/secondary-authors&gt;&lt;/contributors&gt;&lt;titles&gt;&lt;title&gt;Chapter 9. Policy Design What, Who, How and Why?&lt;/title&gt;&lt;secondary-title&gt;L&amp;apos;instrumentation de l&amp;apos;action publique Controverses, résistance, effets.&lt;/secondary-title&gt;&lt;/titles&gt;&lt;pages&gt;281-316&lt;/pages&gt;&lt;dates&gt;&lt;year&gt;2014&lt;/year&gt;&lt;/dates&gt;&lt;urls&gt;&lt;/urls&gt;&lt;electronic-resource-num&gt;https://doi.org/10.3917/scpo.halpe.2014.01.0281 &lt;/electronic-resource-num&gt;&lt;/record&gt;&lt;/Cite&gt;&lt;/EndNote&gt;</w:instrText>
      </w:r>
      <w:r w:rsidR="00C212D1" w:rsidRPr="00524A62">
        <w:rPr>
          <w:rFonts w:cstheme="minorHAnsi"/>
          <w:lang w:val="en-US"/>
        </w:rPr>
        <w:fldChar w:fldCharType="separate"/>
      </w:r>
      <w:r w:rsidR="00C212D1" w:rsidRPr="00524A62">
        <w:rPr>
          <w:rFonts w:cstheme="minorHAnsi"/>
          <w:noProof/>
          <w:lang w:val="en-US"/>
        </w:rPr>
        <w:t>(Howlett, 2014)</w:t>
      </w:r>
      <w:r w:rsidR="00C212D1" w:rsidRPr="00524A62">
        <w:rPr>
          <w:rFonts w:cstheme="minorHAnsi"/>
          <w:lang w:val="en-US"/>
        </w:rPr>
        <w:fldChar w:fldCharType="end"/>
      </w:r>
      <w:r w:rsidR="00C212D1" w:rsidRPr="00524A62">
        <w:rPr>
          <w:rFonts w:cstheme="minorHAnsi"/>
          <w:lang w:val="en-US"/>
        </w:rPr>
        <w:t>.</w:t>
      </w:r>
      <w:r w:rsidRPr="00524A62">
        <w:rPr>
          <w:rFonts w:cstheme="minorHAnsi"/>
          <w:lang w:val="en-US"/>
        </w:rPr>
        <w:t xml:space="preserve"> </w:t>
      </w:r>
    </w:p>
    <w:p w14:paraId="1687983B" w14:textId="7F80466F" w:rsidR="0049018D" w:rsidRPr="00524A62" w:rsidRDefault="0049018D" w:rsidP="0049018D">
      <w:pPr>
        <w:rPr>
          <w:rFonts w:cstheme="minorHAnsi"/>
          <w:lang w:val="en-US"/>
        </w:rPr>
      </w:pPr>
      <w:r w:rsidRPr="00524A62">
        <w:rPr>
          <w:rFonts w:cstheme="minorHAnsi"/>
          <w:lang w:val="en-US"/>
        </w:rPr>
        <w:t xml:space="preserve">In terms of policy means, we look at policy instruments: the specific policy measures by which the government aims to achieve its objectives. Within this category, we have gathered information on </w:t>
      </w:r>
      <w:r w:rsidRPr="00524A62">
        <w:rPr>
          <w:rFonts w:cstheme="minorHAnsi"/>
          <w:lang w:val="en-US"/>
        </w:rPr>
        <w:lastRenderedPageBreak/>
        <w:t>both economic and regulatory instruments. We define an economic instrument is a policy instrument that hands out or takes away material resources while the addressees are not obligated to take the measures involved</w:t>
      </w:r>
      <w:r w:rsidR="00C212D1" w:rsidRPr="00524A62">
        <w:rPr>
          <w:rFonts w:cstheme="minorHAnsi"/>
          <w:lang w:val="en-US"/>
        </w:rPr>
        <w:t xml:space="preserve"> </w:t>
      </w:r>
      <w:r w:rsidRPr="00524A62">
        <w:rPr>
          <w:rFonts w:cstheme="minorHAnsi"/>
          <w:lang w:val="en-US"/>
        </w:rPr>
        <w:fldChar w:fldCharType="begin"/>
      </w:r>
      <w:r w:rsidRPr="00524A62">
        <w:rPr>
          <w:rFonts w:cstheme="minorHAnsi"/>
          <w:lang w:val="en-US"/>
        </w:rPr>
        <w:instrText xml:space="preserve"> ADDIN EN.CITE &lt;EndNote&gt;&lt;Cite&gt;&lt;Author&gt;Bemelmans-Videc&lt;/Author&gt;&lt;Year&gt;2011&lt;/Year&gt;&lt;RecNum&gt;2045&lt;/RecNum&gt;&lt;DisplayText&gt;(Bemelmans-Videc et al., 2011)&lt;/DisplayText&gt;&lt;record&gt;&lt;rec-number&gt;2045&lt;/rec-number&gt;&lt;foreign-keys&gt;&lt;key app="EN" db-id="wsa2dvxxwrf5z7et59bpfs5z9w5d95pfsdr2" timestamp="1740131047"&gt;2045&lt;/key&gt;&lt;/foreign-keys&gt;&lt;ref-type name="Book"&gt;6&lt;/ref-type&gt;&lt;contributors&gt;&lt;authors&gt;&lt;author&gt;Bemelmans-Videc, Marie-Louise&lt;/author&gt;&lt;author&gt;Rist, Ray C&lt;/author&gt;&lt;author&gt;Vedung, Evert Oskar&lt;/author&gt;&lt;/authors&gt;&lt;/contributors&gt;&lt;titles&gt;&lt;title&gt;Carrots, sticks, and sermons: Policy instruments and their evaluation&lt;/title&gt;&lt;/titles&gt;&lt;volume&gt;1&lt;/volume&gt;&lt;dates&gt;&lt;year&gt;2011&lt;/year&gt;&lt;/dates&gt;&lt;publisher&gt;Transaction Publishers&lt;/publisher&gt;&lt;isbn&gt;1412819156&lt;/isbn&gt;&lt;urls&gt;&lt;/urls&gt;&lt;/record&gt;&lt;/Cite&gt;&lt;/EndNote&gt;</w:instrText>
      </w:r>
      <w:r w:rsidRPr="00524A62">
        <w:rPr>
          <w:rFonts w:cstheme="minorHAnsi"/>
          <w:lang w:val="en-US"/>
        </w:rPr>
        <w:fldChar w:fldCharType="separate"/>
      </w:r>
      <w:r w:rsidRPr="00524A62">
        <w:rPr>
          <w:rFonts w:cstheme="minorHAnsi"/>
          <w:noProof/>
          <w:lang w:val="en-US"/>
        </w:rPr>
        <w:t>(Bemelmans-Videc et al., 2011)</w:t>
      </w:r>
      <w:r w:rsidRPr="00524A62">
        <w:rPr>
          <w:rFonts w:cstheme="minorHAnsi"/>
          <w:lang w:val="en-US"/>
        </w:rPr>
        <w:fldChar w:fldCharType="end"/>
      </w:r>
      <w:r w:rsidRPr="00524A62">
        <w:rPr>
          <w:rFonts w:cstheme="minorHAnsi"/>
          <w:lang w:val="en-US"/>
        </w:rPr>
        <w:t>. At this time, we do not gather data on information policy instruments or voluntary policy instruments.</w:t>
      </w:r>
    </w:p>
    <w:p w14:paraId="07B085A8" w14:textId="3AC38AA4" w:rsidR="00591BE7" w:rsidRPr="00524A62" w:rsidRDefault="0049018D" w:rsidP="0049018D">
      <w:pPr>
        <w:rPr>
          <w:rFonts w:cstheme="minorHAnsi"/>
          <w:lang w:val="en-US"/>
        </w:rPr>
      </w:pPr>
      <w:r w:rsidRPr="00524A62">
        <w:rPr>
          <w:rFonts w:cstheme="minorHAnsi"/>
          <w:lang w:val="en-US"/>
        </w:rPr>
        <w:t xml:space="preserve">For renewable electricity support policy instruments, we focus on </w:t>
      </w:r>
      <w:r w:rsidR="00BD7C08" w:rsidRPr="00524A62">
        <w:rPr>
          <w:rFonts w:cstheme="minorHAnsi"/>
          <w:lang w:val="en-US"/>
        </w:rPr>
        <w:t>10</w:t>
      </w:r>
      <w:r w:rsidRPr="00524A62">
        <w:rPr>
          <w:rFonts w:cstheme="minorHAnsi"/>
          <w:lang w:val="en-US"/>
        </w:rPr>
        <w:t xml:space="preserve"> specific instruments which influence the expansion of renewable electricity generation. Some instruments, such as emissions trading, which target both the power and other sectors and therefore may indirectly impact the competitiveness of renewable power vs fossil fuels are also included. A list of the relevant policy instruments and their short descriptions is below (more details can be found in the respective sections). </w:t>
      </w:r>
    </w:p>
    <w:p w14:paraId="7109C7A3" w14:textId="5C9FC283" w:rsidR="0049018D" w:rsidRPr="00524A62" w:rsidRDefault="00C33B20" w:rsidP="00C33B20">
      <w:pPr>
        <w:pStyle w:val="Caption"/>
        <w:rPr>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2</w:t>
      </w:r>
      <w:r w:rsidRPr="00551268">
        <w:rPr>
          <w:noProof/>
          <w:lang w:val="en-US"/>
        </w:rPr>
        <w:fldChar w:fldCharType="end"/>
      </w:r>
      <w:r w:rsidRPr="00551268">
        <w:rPr>
          <w:lang w:val="en-US"/>
        </w:rPr>
        <w:t xml:space="preserve">: </w:t>
      </w:r>
      <w:r w:rsidR="0049018D" w:rsidRPr="00524A62">
        <w:rPr>
          <w:lang w:val="en-US"/>
        </w:rPr>
        <w:t>Summary of recorded policy instruments for renewable electricity adoption support</w:t>
      </w:r>
    </w:p>
    <w:tbl>
      <w:tblPr>
        <w:tblStyle w:val="TableGrid"/>
        <w:tblW w:w="9316" w:type="dxa"/>
        <w:tblLook w:val="04A0" w:firstRow="1" w:lastRow="0" w:firstColumn="1" w:lastColumn="0" w:noHBand="0" w:noVBand="1"/>
      </w:tblPr>
      <w:tblGrid>
        <w:gridCol w:w="2425"/>
        <w:gridCol w:w="6891"/>
      </w:tblGrid>
      <w:tr w:rsidR="0049018D" w:rsidRPr="00524A62" w14:paraId="3AA29BE7" w14:textId="77777777" w:rsidTr="0005606D">
        <w:trPr>
          <w:trHeight w:val="231"/>
        </w:trPr>
        <w:tc>
          <w:tcPr>
            <w:tcW w:w="2425" w:type="dxa"/>
          </w:tcPr>
          <w:p w14:paraId="1F3CA264" w14:textId="77777777" w:rsidR="0049018D" w:rsidRPr="00524A62" w:rsidRDefault="0049018D" w:rsidP="0005606D">
            <w:pPr>
              <w:rPr>
                <w:rFonts w:cstheme="minorHAnsi"/>
                <w:b/>
                <w:bCs/>
                <w:lang w:val="en-US"/>
              </w:rPr>
            </w:pPr>
            <w:r w:rsidRPr="00524A62">
              <w:rPr>
                <w:rFonts w:cstheme="minorHAnsi"/>
                <w:b/>
                <w:bCs/>
                <w:lang w:val="en-US"/>
              </w:rPr>
              <w:t>Policy instrument name</w:t>
            </w:r>
          </w:p>
        </w:tc>
        <w:tc>
          <w:tcPr>
            <w:tcW w:w="6891" w:type="dxa"/>
          </w:tcPr>
          <w:p w14:paraId="742E98A3" w14:textId="77777777" w:rsidR="0049018D" w:rsidRPr="00524A62" w:rsidRDefault="0049018D" w:rsidP="0005606D">
            <w:pPr>
              <w:rPr>
                <w:rFonts w:cstheme="minorHAnsi"/>
                <w:b/>
                <w:bCs/>
                <w:lang w:val="en-US"/>
              </w:rPr>
            </w:pPr>
            <w:r w:rsidRPr="00524A62">
              <w:rPr>
                <w:rFonts w:cstheme="minorHAnsi"/>
                <w:b/>
                <w:bCs/>
                <w:lang w:val="en-US"/>
              </w:rPr>
              <w:t>Description</w:t>
            </w:r>
          </w:p>
        </w:tc>
      </w:tr>
      <w:tr w:rsidR="0049018D" w:rsidRPr="008D4356" w14:paraId="44EB44F0" w14:textId="77777777" w:rsidTr="0005606D">
        <w:trPr>
          <w:trHeight w:val="223"/>
        </w:trPr>
        <w:tc>
          <w:tcPr>
            <w:tcW w:w="2425" w:type="dxa"/>
          </w:tcPr>
          <w:p w14:paraId="0B43BBF9" w14:textId="7730CC57" w:rsidR="0049018D" w:rsidRPr="00524A62" w:rsidRDefault="0049018D" w:rsidP="0005606D">
            <w:pPr>
              <w:rPr>
                <w:rFonts w:cstheme="minorHAnsi"/>
                <w:lang w:val="en-US"/>
              </w:rPr>
            </w:pPr>
            <w:r w:rsidRPr="00524A62">
              <w:rPr>
                <w:rFonts w:cstheme="minorHAnsi"/>
                <w:lang w:val="en-US"/>
              </w:rPr>
              <w:t>Feed-in tariff</w:t>
            </w:r>
          </w:p>
        </w:tc>
        <w:tc>
          <w:tcPr>
            <w:tcW w:w="6891" w:type="dxa"/>
          </w:tcPr>
          <w:p w14:paraId="408EE4C6" w14:textId="7A58FD9F" w:rsidR="0049018D" w:rsidRPr="00524A62" w:rsidRDefault="00834D83" w:rsidP="00834D83">
            <w:pPr>
              <w:rPr>
                <w:rFonts w:cstheme="minorHAnsi"/>
                <w:lang w:val="en-US"/>
              </w:rPr>
            </w:pPr>
            <w:r w:rsidRPr="00524A62">
              <w:rPr>
                <w:rFonts w:cstheme="minorHAnsi"/>
                <w:lang w:val="en-US"/>
              </w:rPr>
              <w:t>A feed-in tariff is a market premium where energy producers are paid fixed prices for every unit of energy fed into the grid for a number of years in the future.</w:t>
            </w:r>
          </w:p>
        </w:tc>
      </w:tr>
      <w:tr w:rsidR="0049018D" w:rsidRPr="008D4356" w14:paraId="3167CC14" w14:textId="77777777" w:rsidTr="0005606D">
        <w:trPr>
          <w:trHeight w:val="231"/>
        </w:trPr>
        <w:tc>
          <w:tcPr>
            <w:tcW w:w="2425" w:type="dxa"/>
          </w:tcPr>
          <w:p w14:paraId="10C09032" w14:textId="77777777" w:rsidR="0049018D" w:rsidRPr="00524A62" w:rsidRDefault="0049018D" w:rsidP="0005606D">
            <w:pPr>
              <w:rPr>
                <w:rFonts w:cstheme="minorHAnsi"/>
                <w:lang w:val="en-US"/>
              </w:rPr>
            </w:pPr>
            <w:r w:rsidRPr="00524A62">
              <w:rPr>
                <w:rFonts w:cstheme="minorHAnsi"/>
                <w:lang w:val="en-US"/>
              </w:rPr>
              <w:t>Feed-in premium</w:t>
            </w:r>
          </w:p>
        </w:tc>
        <w:tc>
          <w:tcPr>
            <w:tcW w:w="6891" w:type="dxa"/>
          </w:tcPr>
          <w:p w14:paraId="46687BF2" w14:textId="655165F1" w:rsidR="0049018D" w:rsidRPr="00524A62" w:rsidRDefault="00DC5F00" w:rsidP="0005606D">
            <w:pPr>
              <w:rPr>
                <w:rFonts w:cstheme="minorHAnsi"/>
                <w:lang w:val="en-US"/>
              </w:rPr>
            </w:pPr>
            <w:r w:rsidRPr="00524A62">
              <w:rPr>
                <w:rFonts w:cstheme="minorHAnsi"/>
                <w:lang w:val="en-US"/>
              </w:rPr>
              <w:t>A feed-in premium is a market premium where energy generators are paid a premium on top of the price they achieve in the electricity market, for electricity fed into the grid for a number of years in the future</w:t>
            </w:r>
            <w:r w:rsidR="008027FE" w:rsidRPr="00524A62">
              <w:rPr>
                <w:rFonts w:cstheme="minorHAnsi"/>
                <w:lang w:val="en-US"/>
              </w:rPr>
              <w:t>.</w:t>
            </w:r>
          </w:p>
        </w:tc>
      </w:tr>
      <w:tr w:rsidR="0049018D" w:rsidRPr="008D4356" w14:paraId="168F318C" w14:textId="77777777" w:rsidTr="0005606D">
        <w:trPr>
          <w:trHeight w:val="223"/>
        </w:trPr>
        <w:tc>
          <w:tcPr>
            <w:tcW w:w="2425" w:type="dxa"/>
          </w:tcPr>
          <w:p w14:paraId="760CFAF2" w14:textId="0B380FC1" w:rsidR="0049018D" w:rsidRPr="00524A62" w:rsidRDefault="00827BF8" w:rsidP="0005606D">
            <w:pPr>
              <w:rPr>
                <w:rFonts w:cstheme="minorHAnsi"/>
                <w:highlight w:val="yellow"/>
                <w:lang w:val="en-US"/>
              </w:rPr>
            </w:pPr>
            <w:r w:rsidRPr="00524A62">
              <w:rPr>
                <w:rFonts w:cstheme="minorHAnsi"/>
                <w:lang w:val="en-US"/>
              </w:rPr>
              <w:t>Grant</w:t>
            </w:r>
          </w:p>
        </w:tc>
        <w:tc>
          <w:tcPr>
            <w:tcW w:w="6891" w:type="dxa"/>
          </w:tcPr>
          <w:p w14:paraId="6B041464" w14:textId="27DF4344" w:rsidR="0049018D" w:rsidRPr="00524A62" w:rsidRDefault="0049018D" w:rsidP="0005606D">
            <w:pPr>
              <w:rPr>
                <w:rFonts w:cstheme="minorHAnsi"/>
                <w:lang w:val="en-US"/>
              </w:rPr>
            </w:pPr>
            <w:r w:rsidRPr="00524A62">
              <w:rPr>
                <w:rFonts w:cstheme="minorHAnsi"/>
                <w:lang w:val="en-US"/>
              </w:rPr>
              <w:t xml:space="preserve">A grant </w:t>
            </w:r>
            <w:r w:rsidR="0040290B" w:rsidRPr="00524A62">
              <w:rPr>
                <w:rFonts w:cstheme="minorHAnsi"/>
                <w:lang w:val="en-US"/>
              </w:rPr>
              <w:t>is a fiscal incentive where the government provides non-repayable funding for specific purposes.</w:t>
            </w:r>
          </w:p>
        </w:tc>
      </w:tr>
      <w:tr w:rsidR="0049018D" w:rsidRPr="008D4356" w14:paraId="395D636F" w14:textId="77777777" w:rsidTr="0005606D">
        <w:trPr>
          <w:trHeight w:val="223"/>
        </w:trPr>
        <w:tc>
          <w:tcPr>
            <w:tcW w:w="2425" w:type="dxa"/>
          </w:tcPr>
          <w:p w14:paraId="18E2C436" w14:textId="77777777" w:rsidR="0049018D" w:rsidRPr="00524A62" w:rsidRDefault="0049018D" w:rsidP="0005606D">
            <w:pPr>
              <w:rPr>
                <w:rFonts w:cstheme="minorHAnsi"/>
                <w:lang w:val="en-US"/>
              </w:rPr>
            </w:pPr>
            <w:r w:rsidRPr="00524A62">
              <w:rPr>
                <w:rFonts w:cstheme="minorHAnsi"/>
                <w:lang w:val="en-US"/>
              </w:rPr>
              <w:t>Emissions trading</w:t>
            </w:r>
          </w:p>
        </w:tc>
        <w:tc>
          <w:tcPr>
            <w:tcW w:w="6891" w:type="dxa"/>
          </w:tcPr>
          <w:p w14:paraId="4E8E04DD" w14:textId="743BAC89" w:rsidR="0049018D" w:rsidRPr="00524A62" w:rsidRDefault="00BF2152" w:rsidP="0005606D">
            <w:pPr>
              <w:rPr>
                <w:rFonts w:cstheme="minorHAnsi"/>
                <w:lang w:val="en-US"/>
              </w:rPr>
            </w:pPr>
            <w:r w:rsidRPr="00524A62">
              <w:rPr>
                <w:rFonts w:cstheme="minorHAnsi"/>
                <w:lang w:val="en-US"/>
              </w:rPr>
              <w:t xml:space="preserve">A greenhouse gas emissions trading scheme (also called carbon markets) is a trading scheme wherein governments issue tradable emissions certificates, often combined with a fixed emissions cap (overall or set on specific actors), thereby setting economic incentives to reduce emissions. </w:t>
            </w:r>
            <w:r w:rsidR="0060158A" w:rsidRPr="00524A62">
              <w:rPr>
                <w:rFonts w:cstheme="minorHAnsi"/>
                <w:lang w:val="en-US"/>
              </w:rPr>
              <w:t>We record</w:t>
            </w:r>
            <w:r w:rsidR="00173036" w:rsidRPr="00524A62">
              <w:rPr>
                <w:rFonts w:cstheme="minorHAnsi"/>
                <w:lang w:val="en-US"/>
              </w:rPr>
              <w:t xml:space="preserve"> only mandatory</w:t>
            </w:r>
            <w:r w:rsidR="0060158A" w:rsidRPr="00524A62">
              <w:rPr>
                <w:rFonts w:cstheme="minorHAnsi"/>
                <w:lang w:val="en-US"/>
              </w:rPr>
              <w:t xml:space="preserve"> </w:t>
            </w:r>
            <w:r w:rsidR="0049018D" w:rsidRPr="00524A62">
              <w:rPr>
                <w:rFonts w:cstheme="minorHAnsi"/>
                <w:lang w:val="en-US"/>
              </w:rPr>
              <w:t>cap-and-trade</w:t>
            </w:r>
            <w:r w:rsidR="0060158A" w:rsidRPr="00524A62">
              <w:rPr>
                <w:rFonts w:cstheme="minorHAnsi"/>
                <w:lang w:val="en-US"/>
              </w:rPr>
              <w:t xml:space="preserve"> </w:t>
            </w:r>
            <w:r w:rsidR="00173036" w:rsidRPr="00524A62">
              <w:rPr>
                <w:rFonts w:cstheme="minorHAnsi"/>
                <w:lang w:val="en-US"/>
              </w:rPr>
              <w:t xml:space="preserve">schemes that </w:t>
            </w:r>
            <w:r w:rsidR="006947F1" w:rsidRPr="00524A62">
              <w:rPr>
                <w:rFonts w:cstheme="minorHAnsi"/>
                <w:lang w:val="en-US"/>
              </w:rPr>
              <w:t>include emission from power generation.</w:t>
            </w:r>
          </w:p>
        </w:tc>
      </w:tr>
      <w:tr w:rsidR="0049018D" w:rsidRPr="008D4356" w14:paraId="114500B5" w14:textId="77777777" w:rsidTr="0005606D">
        <w:trPr>
          <w:trHeight w:val="231"/>
        </w:trPr>
        <w:tc>
          <w:tcPr>
            <w:tcW w:w="2425" w:type="dxa"/>
          </w:tcPr>
          <w:p w14:paraId="4EBC684C" w14:textId="77777777" w:rsidR="0049018D" w:rsidRPr="00524A62" w:rsidRDefault="0049018D" w:rsidP="0005606D">
            <w:pPr>
              <w:rPr>
                <w:rFonts w:cstheme="minorHAnsi"/>
                <w:lang w:val="en-US"/>
              </w:rPr>
            </w:pPr>
            <w:r w:rsidRPr="00524A62">
              <w:rPr>
                <w:rFonts w:cstheme="minorHAnsi"/>
                <w:lang w:val="en-US"/>
              </w:rPr>
              <w:t>Soft loan</w:t>
            </w:r>
          </w:p>
        </w:tc>
        <w:tc>
          <w:tcPr>
            <w:tcW w:w="6891" w:type="dxa"/>
          </w:tcPr>
          <w:p w14:paraId="2CFA16AF" w14:textId="790541DD" w:rsidR="0049018D" w:rsidRPr="00524A62" w:rsidRDefault="005574B8" w:rsidP="0005606D">
            <w:pPr>
              <w:rPr>
                <w:rFonts w:cstheme="minorHAnsi"/>
                <w:lang w:val="en-US"/>
              </w:rPr>
            </w:pPr>
            <w:r w:rsidRPr="00524A62">
              <w:rPr>
                <w:rFonts w:cstheme="minorHAnsi"/>
                <w:lang w:val="en-US"/>
              </w:rPr>
              <w:t>A soft loan is an economic policy instrument where the government provides loans for at preferential conditions to lower financing costs.</w:t>
            </w:r>
          </w:p>
        </w:tc>
      </w:tr>
      <w:tr w:rsidR="0049018D" w:rsidRPr="008D4356" w14:paraId="15058575" w14:textId="77777777" w:rsidTr="0005606D">
        <w:trPr>
          <w:trHeight w:val="223"/>
        </w:trPr>
        <w:tc>
          <w:tcPr>
            <w:tcW w:w="2425" w:type="dxa"/>
          </w:tcPr>
          <w:p w14:paraId="1F38DE06" w14:textId="77777777" w:rsidR="0049018D" w:rsidRPr="00524A62" w:rsidRDefault="0049018D" w:rsidP="0005606D">
            <w:pPr>
              <w:rPr>
                <w:rFonts w:cstheme="minorHAnsi"/>
                <w:lang w:val="en-US"/>
              </w:rPr>
            </w:pPr>
            <w:r w:rsidRPr="00524A62">
              <w:rPr>
                <w:rFonts w:cstheme="minorHAnsi"/>
                <w:lang w:val="en-US"/>
              </w:rPr>
              <w:t>Loan guarantee</w:t>
            </w:r>
          </w:p>
        </w:tc>
        <w:tc>
          <w:tcPr>
            <w:tcW w:w="6891" w:type="dxa"/>
          </w:tcPr>
          <w:p w14:paraId="63AA3D7B" w14:textId="738ADA0D" w:rsidR="0049018D" w:rsidRPr="00524A62" w:rsidRDefault="00AA584C" w:rsidP="0005606D">
            <w:pPr>
              <w:rPr>
                <w:rFonts w:cstheme="minorHAnsi"/>
                <w:lang w:val="en-US"/>
              </w:rPr>
            </w:pPr>
            <w:r w:rsidRPr="00524A62">
              <w:rPr>
                <w:rFonts w:cstheme="minorHAnsi"/>
                <w:lang w:val="en-US"/>
              </w:rPr>
              <w:t>A loan guarantee is an economic policy instrument where the government guarantees to pay the loan should the project go bankrupt, lowering the default risk and therefore the required returns on debt and/or equity.</w:t>
            </w:r>
          </w:p>
        </w:tc>
      </w:tr>
      <w:tr w:rsidR="0049018D" w:rsidRPr="008D4356" w14:paraId="46B67927" w14:textId="77777777" w:rsidTr="0005606D">
        <w:trPr>
          <w:trHeight w:val="231"/>
        </w:trPr>
        <w:tc>
          <w:tcPr>
            <w:tcW w:w="2425" w:type="dxa"/>
          </w:tcPr>
          <w:p w14:paraId="0FDD90F4" w14:textId="77777777" w:rsidR="0049018D" w:rsidRPr="00524A62" w:rsidRDefault="0049018D" w:rsidP="0005606D">
            <w:pPr>
              <w:rPr>
                <w:rFonts w:cstheme="minorHAnsi"/>
                <w:lang w:val="en-US"/>
              </w:rPr>
            </w:pPr>
            <w:r w:rsidRPr="00524A62">
              <w:rPr>
                <w:rFonts w:cstheme="minorHAnsi"/>
                <w:lang w:val="en-US"/>
              </w:rPr>
              <w:t>Tax incentives</w:t>
            </w:r>
          </w:p>
        </w:tc>
        <w:tc>
          <w:tcPr>
            <w:tcW w:w="6891" w:type="dxa"/>
          </w:tcPr>
          <w:p w14:paraId="420EA400" w14:textId="04546CAA" w:rsidR="0049018D" w:rsidRPr="00524A62" w:rsidRDefault="00561B46" w:rsidP="0005606D">
            <w:pPr>
              <w:rPr>
                <w:rFonts w:cstheme="minorHAnsi"/>
                <w:lang w:val="en-US"/>
              </w:rPr>
            </w:pPr>
            <w:r w:rsidRPr="00524A62">
              <w:rPr>
                <w:rFonts w:cstheme="minorHAnsi"/>
                <w:lang w:val="en-US"/>
              </w:rPr>
              <w:t xml:space="preserve">A tax incentive is a fiscal incentive where the government reduces or exempts selected activities, goods or actors from taxes. These include subcategories such as </w:t>
            </w:r>
            <w:r w:rsidR="00716B3E" w:rsidRPr="00524A62">
              <w:rPr>
                <w:rFonts w:cstheme="minorHAnsi"/>
                <w:lang w:val="en-US"/>
              </w:rPr>
              <w:t>tax exemptions, tax deductions (including accelerated depreciation), tax reductions, tax credits and tax returns.</w:t>
            </w:r>
            <w:r w:rsidR="0049018D" w:rsidRPr="00524A62">
              <w:rPr>
                <w:rFonts w:cstheme="minorHAnsi"/>
                <w:lang w:val="en-US"/>
              </w:rPr>
              <w:t xml:space="preserve">  </w:t>
            </w:r>
          </w:p>
        </w:tc>
      </w:tr>
      <w:tr w:rsidR="0049018D" w:rsidRPr="008D4356" w14:paraId="4BC5A76B" w14:textId="77777777" w:rsidTr="0005606D">
        <w:trPr>
          <w:trHeight w:val="231"/>
        </w:trPr>
        <w:tc>
          <w:tcPr>
            <w:tcW w:w="2425" w:type="dxa"/>
          </w:tcPr>
          <w:p w14:paraId="6152AF3F" w14:textId="35304489" w:rsidR="0049018D" w:rsidRPr="00524A62" w:rsidRDefault="0049018D" w:rsidP="0005606D">
            <w:pPr>
              <w:rPr>
                <w:rFonts w:cstheme="minorHAnsi"/>
                <w:lang w:val="en-US"/>
              </w:rPr>
            </w:pPr>
            <w:r w:rsidRPr="00524A62">
              <w:rPr>
                <w:rFonts w:cstheme="minorHAnsi"/>
                <w:lang w:val="en-US"/>
              </w:rPr>
              <w:t>Auction</w:t>
            </w:r>
            <w:r w:rsidR="00C762BF" w:rsidRPr="00524A62">
              <w:rPr>
                <w:rFonts w:cstheme="minorHAnsi"/>
                <w:lang w:val="en-US"/>
              </w:rPr>
              <w:t>s</w:t>
            </w:r>
          </w:p>
        </w:tc>
        <w:tc>
          <w:tcPr>
            <w:tcW w:w="6891" w:type="dxa"/>
          </w:tcPr>
          <w:p w14:paraId="3C19FB2C" w14:textId="1C3024B0" w:rsidR="0049018D" w:rsidRPr="00524A62" w:rsidRDefault="00914FD3" w:rsidP="0005606D">
            <w:pPr>
              <w:rPr>
                <w:rFonts w:cstheme="minorHAnsi"/>
                <w:lang w:val="en-US"/>
              </w:rPr>
            </w:pPr>
            <w:r w:rsidRPr="00524A62">
              <w:rPr>
                <w:rFonts w:cstheme="minorHAnsi"/>
                <w:lang w:val="en-US"/>
              </w:rPr>
              <w:t>An auction is an economic instrument that allocates resources based on a bidding competition. These resources may be a financial (for example, an auction with a feed-in tariff) or other resources such as access to land.</w:t>
            </w:r>
          </w:p>
        </w:tc>
      </w:tr>
      <w:tr w:rsidR="0049018D" w:rsidRPr="008D4356" w14:paraId="4AD2C9A4" w14:textId="77777777" w:rsidTr="0005606D">
        <w:trPr>
          <w:trHeight w:val="456"/>
        </w:trPr>
        <w:tc>
          <w:tcPr>
            <w:tcW w:w="2425" w:type="dxa"/>
          </w:tcPr>
          <w:p w14:paraId="78B484F1" w14:textId="77777777" w:rsidR="0049018D" w:rsidRPr="00524A62" w:rsidRDefault="0049018D" w:rsidP="0005606D">
            <w:pPr>
              <w:rPr>
                <w:rFonts w:cstheme="minorHAnsi"/>
                <w:lang w:val="en-US"/>
              </w:rPr>
            </w:pPr>
            <w:r w:rsidRPr="00524A62">
              <w:rPr>
                <w:rFonts w:cstheme="minorHAnsi"/>
                <w:lang w:val="en-US"/>
              </w:rPr>
              <w:t>Tradeable green certificates (TGC)</w:t>
            </w:r>
          </w:p>
        </w:tc>
        <w:tc>
          <w:tcPr>
            <w:tcW w:w="6891" w:type="dxa"/>
          </w:tcPr>
          <w:p w14:paraId="405CFFEC" w14:textId="09794B8F" w:rsidR="0049018D" w:rsidRPr="00524A62" w:rsidRDefault="0081095C" w:rsidP="0005606D">
            <w:pPr>
              <w:rPr>
                <w:rFonts w:cstheme="minorHAnsi"/>
                <w:lang w:val="en-US"/>
              </w:rPr>
            </w:pPr>
            <w:r w:rsidRPr="00524A62">
              <w:rPr>
                <w:rFonts w:cstheme="minorHAnsi"/>
                <w:lang w:val="en-US"/>
              </w:rPr>
              <w:t>A green certificate scheme is a trading scheme where producers of renewable electricity receive tradable certificates for each unit of electricity generated. These certificates can then be sold separately from the electricity itself, typically to energy suppliers who are obligated via a quota to source a certain share of their electricity from renewables. This creates a market for certificates, providing a financial incentive for renewable energy investment and production</w:t>
            </w:r>
            <w:r w:rsidR="00AF776F" w:rsidRPr="00524A62">
              <w:rPr>
                <w:rFonts w:cstheme="minorHAnsi"/>
                <w:lang w:val="en-US"/>
              </w:rPr>
              <w:t>.</w:t>
            </w:r>
          </w:p>
        </w:tc>
      </w:tr>
      <w:tr w:rsidR="00D134FB" w:rsidRPr="008D4356" w14:paraId="7727A10C" w14:textId="77777777" w:rsidTr="0005606D">
        <w:trPr>
          <w:trHeight w:val="456"/>
        </w:trPr>
        <w:tc>
          <w:tcPr>
            <w:tcW w:w="2425" w:type="dxa"/>
          </w:tcPr>
          <w:p w14:paraId="4661AD34" w14:textId="54730AE8" w:rsidR="00D134FB" w:rsidRPr="00524A62" w:rsidRDefault="00D134FB" w:rsidP="0005606D">
            <w:pPr>
              <w:rPr>
                <w:rFonts w:cstheme="minorHAnsi"/>
                <w:highlight w:val="yellow"/>
                <w:lang w:val="en-US"/>
              </w:rPr>
            </w:pPr>
            <w:r w:rsidRPr="00524A62">
              <w:rPr>
                <w:rFonts w:cstheme="minorHAnsi"/>
                <w:lang w:val="en-US"/>
              </w:rPr>
              <w:t>Carbon taxes</w:t>
            </w:r>
          </w:p>
        </w:tc>
        <w:tc>
          <w:tcPr>
            <w:tcW w:w="6891" w:type="dxa"/>
          </w:tcPr>
          <w:p w14:paraId="2C3E9004" w14:textId="48D44F13" w:rsidR="00D134FB" w:rsidRPr="00524A62" w:rsidRDefault="000C1FC8" w:rsidP="0005606D">
            <w:pPr>
              <w:rPr>
                <w:rFonts w:cstheme="minorHAnsi"/>
                <w:highlight w:val="yellow"/>
                <w:lang w:val="en-US"/>
              </w:rPr>
            </w:pPr>
            <w:r w:rsidRPr="00524A62">
              <w:rPr>
                <w:rFonts w:cstheme="minorHAnsi"/>
                <w:lang w:val="en-US"/>
              </w:rPr>
              <w:t xml:space="preserve">A carbon tax is a tax on carbon or other greenhouse gas emissions, measured in CO2 equivalent values. </w:t>
            </w:r>
            <w:r w:rsidR="00591BE7" w:rsidRPr="00524A62">
              <w:rPr>
                <w:rFonts w:cstheme="minorHAnsi"/>
                <w:lang w:val="en-US"/>
              </w:rPr>
              <w:t>By increasing the cost of carbon-intensive electricity, carbon taxes indirectly support renewable power by improving its</w:t>
            </w:r>
            <w:r w:rsidR="0077358D" w:rsidRPr="00524A62">
              <w:rPr>
                <w:rFonts w:cstheme="minorHAnsi"/>
                <w:lang w:val="en-US"/>
              </w:rPr>
              <w:t xml:space="preserve"> </w:t>
            </w:r>
            <w:r w:rsidR="00591BE7" w:rsidRPr="00524A62">
              <w:rPr>
                <w:rFonts w:cstheme="minorHAnsi"/>
                <w:lang w:val="en-US"/>
              </w:rPr>
              <w:t>competitiveness.</w:t>
            </w:r>
          </w:p>
        </w:tc>
      </w:tr>
    </w:tbl>
    <w:p w14:paraId="138E684E" w14:textId="45128280" w:rsidR="0049018D" w:rsidRPr="00524A62" w:rsidRDefault="0049018D" w:rsidP="0049018D">
      <w:pPr>
        <w:rPr>
          <w:rFonts w:cstheme="minorHAnsi"/>
          <w:lang w:val="en-US"/>
        </w:rPr>
      </w:pPr>
    </w:p>
    <w:p w14:paraId="4028E658" w14:textId="2EAB6CE7" w:rsidR="009C5D68" w:rsidRPr="00524A62" w:rsidRDefault="000E77BE" w:rsidP="0049018D">
      <w:pPr>
        <w:rPr>
          <w:lang w:val="en-US"/>
        </w:rPr>
      </w:pPr>
      <w:bookmarkStart w:id="8" w:name="_Hlk219998159"/>
      <w:r w:rsidRPr="00524A62">
        <w:rPr>
          <w:rFonts w:cstheme="minorHAnsi"/>
          <w:b/>
          <w:bCs/>
          <w:lang w:val="en-US"/>
        </w:rPr>
        <w:lastRenderedPageBreak/>
        <w:t>NOTE</w:t>
      </w:r>
      <w:r w:rsidR="005669CB" w:rsidRPr="00524A62">
        <w:rPr>
          <w:rFonts w:cstheme="minorHAnsi"/>
          <w:lang w:val="en-US"/>
        </w:rPr>
        <w:t xml:space="preserve">: </w:t>
      </w:r>
      <w:r w:rsidR="007371E8">
        <w:rPr>
          <w:rFonts w:cstheme="minorHAnsi"/>
          <w:lang w:val="en-US"/>
        </w:rPr>
        <w:t xml:space="preserve">Policy names do not always correlate with actual instruments: a country might call a </w:t>
      </w:r>
      <w:r w:rsidR="007F69E2">
        <w:rPr>
          <w:rFonts w:cstheme="minorHAnsi"/>
          <w:lang w:val="en-US"/>
        </w:rPr>
        <w:t>grant</w:t>
      </w:r>
      <w:r w:rsidR="007371E8">
        <w:rPr>
          <w:rFonts w:cstheme="minorHAnsi"/>
          <w:lang w:val="en-US"/>
        </w:rPr>
        <w:t xml:space="preserve"> a “bonus”, “premium” or </w:t>
      </w:r>
      <w:r w:rsidR="005669CB" w:rsidRPr="00524A62">
        <w:rPr>
          <w:rFonts w:cstheme="minorHAnsi"/>
          <w:lang w:val="en-US"/>
        </w:rPr>
        <w:t xml:space="preserve">even a </w:t>
      </w:r>
      <w:r w:rsidR="00A737AC" w:rsidRPr="00524A62">
        <w:rPr>
          <w:rFonts w:cstheme="minorHAnsi"/>
          <w:lang w:val="en-US"/>
        </w:rPr>
        <w:t>“</w:t>
      </w:r>
      <w:r w:rsidR="005669CB" w:rsidRPr="00524A62">
        <w:rPr>
          <w:rFonts w:cstheme="minorHAnsi"/>
          <w:lang w:val="en-US"/>
        </w:rPr>
        <w:t>business model</w:t>
      </w:r>
      <w:r w:rsidR="00A737AC" w:rsidRPr="00524A62">
        <w:rPr>
          <w:rFonts w:cstheme="minorHAnsi"/>
          <w:lang w:val="en-US"/>
        </w:rPr>
        <w:t>”</w:t>
      </w:r>
      <w:r w:rsidR="005669CB" w:rsidRPr="00524A62">
        <w:rPr>
          <w:rFonts w:cstheme="minorHAnsi"/>
          <w:lang w:val="en-US"/>
        </w:rPr>
        <w:t xml:space="preserve"> in the source tex</w:t>
      </w:r>
      <w:r w:rsidR="007371E8">
        <w:rPr>
          <w:rFonts w:cstheme="minorHAnsi"/>
          <w:lang w:val="en-US"/>
        </w:rPr>
        <w:t xml:space="preserve">t. We use the above definitions from the </w:t>
      </w:r>
      <w:hyperlink r:id="rId12" w:history="1">
        <w:r w:rsidR="007371E8" w:rsidRPr="001C6140">
          <w:rPr>
            <w:rStyle w:val="Hyperlink"/>
            <w:rFonts w:cstheme="minorHAnsi"/>
            <w:lang w:val="en-US"/>
          </w:rPr>
          <w:t>Climate and Energy Policy Ontology</w:t>
        </w:r>
      </w:hyperlink>
      <w:r w:rsidR="007371E8">
        <w:rPr>
          <w:rFonts w:cstheme="minorHAnsi"/>
          <w:lang w:val="en-US"/>
        </w:rPr>
        <w:t xml:space="preserve"> to categorize instruments, and </w:t>
      </w:r>
      <w:r w:rsidR="009C5D68" w:rsidRPr="00524A62">
        <w:rPr>
          <w:lang w:val="en-US"/>
        </w:rPr>
        <w:t>note the name of the policy in the policy name column</w:t>
      </w:r>
      <w:r w:rsidR="00165D89" w:rsidRPr="00524A62">
        <w:rPr>
          <w:lang w:val="en-US"/>
        </w:rPr>
        <w:t xml:space="preserve"> whenever possible.</w:t>
      </w:r>
    </w:p>
    <w:p w14:paraId="59443600" w14:textId="77777777" w:rsidR="0049018D" w:rsidRPr="00524A62" w:rsidRDefault="0049018D" w:rsidP="00D3255F">
      <w:pPr>
        <w:pStyle w:val="Heading2"/>
        <w:rPr>
          <w:lang w:val="en-US"/>
        </w:rPr>
      </w:pPr>
      <w:bookmarkStart w:id="9" w:name="_Toc219972863"/>
      <w:bookmarkEnd w:id="8"/>
      <w:r w:rsidRPr="00524A62">
        <w:rPr>
          <w:lang w:val="en-US"/>
        </w:rPr>
        <w:t>When are instruments not recorded?</w:t>
      </w:r>
      <w:bookmarkEnd w:id="9"/>
    </w:p>
    <w:p w14:paraId="70052F76" w14:textId="5CE7102A" w:rsidR="00637E40" w:rsidRPr="00524A62" w:rsidRDefault="0049018D" w:rsidP="0049018D">
      <w:pPr>
        <w:rPr>
          <w:rFonts w:cstheme="minorHAnsi"/>
          <w:lang w:val="en-US"/>
        </w:rPr>
      </w:pPr>
      <w:r w:rsidRPr="00524A62">
        <w:rPr>
          <w:rFonts w:cstheme="minorHAnsi"/>
          <w:lang w:val="en-US"/>
        </w:rPr>
        <w:t>We record instruments that would be expected to have an impact on investment decisions for new renewables. For this reason, support instruments are no</w:t>
      </w:r>
      <w:r w:rsidR="00637E40" w:rsidRPr="00524A62">
        <w:rPr>
          <w:rFonts w:cstheme="minorHAnsi"/>
          <w:lang w:val="en-US"/>
        </w:rPr>
        <w:t xml:space="preserve">t recorded in some cases. </w:t>
      </w:r>
    </w:p>
    <w:p w14:paraId="28D88AA6" w14:textId="401CD04B" w:rsidR="0049018D" w:rsidRPr="00524A62" w:rsidRDefault="00637E40" w:rsidP="0049018D">
      <w:pPr>
        <w:rPr>
          <w:rFonts w:cstheme="minorHAnsi"/>
          <w:lang w:val="en-US"/>
        </w:rPr>
      </w:pPr>
      <w:r w:rsidRPr="00524A62">
        <w:rPr>
          <w:rFonts w:cstheme="minorHAnsi"/>
          <w:lang w:val="en-US"/>
        </w:rPr>
        <w:t>First, existing policies are no</w:t>
      </w:r>
      <w:r w:rsidR="0049018D" w:rsidRPr="00524A62">
        <w:rPr>
          <w:rFonts w:cstheme="minorHAnsi"/>
          <w:lang w:val="en-US"/>
        </w:rPr>
        <w:t xml:space="preserve"> longer recorded once they are reduced to a very small scope and become irrelevant for the future development of the overall electricity system. For example: France’s feed-in tariff for wind was replaced by an auction mechanism. However, some very specific installations were still technically eligible to receive a feed-in tariff: that is, floating installations or wind energy plants “in an area particularly exposed to cyclonic risk and equipped with a device for forecasting and smoothing electricity production”. The FIT levels are not recorded for these installations, as it would make an observer think that there is continued FIT support for most wind power plants in France when in reality there was a major change in the policy that excluded most installations from the FIT. </w:t>
      </w:r>
    </w:p>
    <w:p w14:paraId="4F94BA97" w14:textId="483BAFF5" w:rsidR="00637E40" w:rsidRPr="00524A62" w:rsidRDefault="00637E40" w:rsidP="00B64441">
      <w:pPr>
        <w:rPr>
          <w:rFonts w:cstheme="minorHAnsi"/>
          <w:lang w:val="en-US"/>
        </w:rPr>
      </w:pPr>
      <w:r w:rsidRPr="00524A62">
        <w:rPr>
          <w:rFonts w:cstheme="minorHAnsi"/>
          <w:lang w:val="en-US"/>
        </w:rPr>
        <w:t xml:space="preserve">Second, policies are not recorded if they only apply to a small sub-group </w:t>
      </w:r>
      <w:r w:rsidR="00B64441" w:rsidRPr="00524A62">
        <w:rPr>
          <w:rFonts w:cstheme="minorHAnsi"/>
          <w:lang w:val="en-US"/>
        </w:rPr>
        <w:t>of actors. We focus on policies that apply to larger actor groups, such as a</w:t>
      </w:r>
      <w:r w:rsidR="0044289B" w:rsidRPr="00524A62">
        <w:rPr>
          <w:rFonts w:cstheme="minorHAnsi"/>
          <w:lang w:val="en-US"/>
        </w:rPr>
        <w:t xml:space="preserve"> grant</w:t>
      </w:r>
      <w:r w:rsidR="00B64441" w:rsidRPr="00524A62">
        <w:rPr>
          <w:rFonts w:cstheme="minorHAnsi"/>
          <w:lang w:val="en-US"/>
        </w:rPr>
        <w:t xml:space="preserve"> where any household is eligible for a 1000 EUR grant, or any SME is eligible for a loan. We exclude those policies which only apply to specific sub-groups (like “only </w:t>
      </w:r>
      <w:r w:rsidR="00957C54" w:rsidRPr="00524A62">
        <w:rPr>
          <w:rFonts w:cstheme="minorHAnsi"/>
          <w:lang w:val="en-US"/>
        </w:rPr>
        <w:t xml:space="preserve">low-income </w:t>
      </w:r>
      <w:r w:rsidR="00B64441" w:rsidRPr="00524A62">
        <w:rPr>
          <w:rFonts w:cstheme="minorHAnsi"/>
          <w:lang w:val="en-US"/>
        </w:rPr>
        <w:t xml:space="preserve">farmers” or </w:t>
      </w:r>
      <w:r w:rsidRPr="00524A62">
        <w:rPr>
          <w:rFonts w:cstheme="minorHAnsi"/>
          <w:lang w:val="en-US"/>
        </w:rPr>
        <w:t xml:space="preserve">“only public buildings”). </w:t>
      </w:r>
    </w:p>
    <w:p w14:paraId="164BC452" w14:textId="41E6F2EF" w:rsidR="0049018D" w:rsidRPr="00524A62" w:rsidRDefault="0049018D" w:rsidP="00D3255F">
      <w:pPr>
        <w:pStyle w:val="Heading2"/>
        <w:rPr>
          <w:lang w:val="en-US"/>
        </w:rPr>
      </w:pPr>
      <w:bookmarkStart w:id="10" w:name="_Toc219972864"/>
      <w:r w:rsidRPr="00524A62">
        <w:rPr>
          <w:lang w:val="en-US"/>
        </w:rPr>
        <w:t>Correctness and completeness of data</w:t>
      </w:r>
      <w:bookmarkEnd w:id="10"/>
    </w:p>
    <w:p w14:paraId="0BF1B797" w14:textId="72163100" w:rsidR="00D07C28" w:rsidRPr="00524A62" w:rsidRDefault="00D07C28" w:rsidP="0049018D">
      <w:pPr>
        <w:rPr>
          <w:rFonts w:cstheme="minorHAnsi"/>
          <w:lang w:val="en-US"/>
        </w:rPr>
      </w:pPr>
      <w:r w:rsidRPr="00524A62">
        <w:rPr>
          <w:rFonts w:cstheme="minorHAnsi"/>
          <w:lang w:val="en-US"/>
        </w:rPr>
        <w:t xml:space="preserve">We have aimed for the data to be as complete and correct as possible, but errors may still occur. If you see something that may be incorrect in the dataset, please write to us directly at  </w:t>
      </w:r>
      <w:hyperlink r:id="rId13" w:history="1">
        <w:r w:rsidRPr="00524A62">
          <w:rPr>
            <w:rStyle w:val="Hyperlink"/>
            <w:rFonts w:cstheme="minorHAnsi"/>
            <w:lang w:val="en-US"/>
          </w:rPr>
          <w:t>climatepolicyatlas@nfdi4energy.org</w:t>
        </w:r>
      </w:hyperlink>
      <w:r w:rsidRPr="00524A62">
        <w:rPr>
          <w:rFonts w:cstheme="minorHAnsi"/>
          <w:lang w:val="en-US"/>
        </w:rPr>
        <w:t xml:space="preserve"> with the serial number of the observation.</w:t>
      </w:r>
    </w:p>
    <w:p w14:paraId="031B2C7E" w14:textId="77777777" w:rsidR="00DD2B6B" w:rsidRPr="00524A62" w:rsidRDefault="0049018D" w:rsidP="0049018D">
      <w:pPr>
        <w:rPr>
          <w:rFonts w:cstheme="minorHAnsi"/>
          <w:lang w:val="en-US"/>
        </w:rPr>
      </w:pPr>
      <w:r w:rsidRPr="00524A62">
        <w:rPr>
          <w:rFonts w:cstheme="minorHAnsi"/>
          <w:lang w:val="en-US"/>
        </w:rPr>
        <w:t>In some cases, we are reasonably sure that a policy exists but are uncertain about details</w:t>
      </w:r>
      <w:r w:rsidR="00DD2B6B" w:rsidRPr="00524A62">
        <w:rPr>
          <w:rFonts w:cstheme="minorHAnsi"/>
          <w:lang w:val="en-US"/>
        </w:rPr>
        <w:t>. In these cases, we record that an instrument exists but we do not fill out information on the support level and add additional information if we have any in the ‘notes’ column.</w:t>
      </w:r>
    </w:p>
    <w:p w14:paraId="1F58CFEC" w14:textId="09DEE6A3" w:rsidR="0049018D" w:rsidRDefault="0049018D" w:rsidP="0049018D">
      <w:pPr>
        <w:rPr>
          <w:rFonts w:cstheme="minorHAnsi"/>
          <w:lang w:val="en-US"/>
        </w:rPr>
      </w:pPr>
      <w:r w:rsidRPr="00524A62">
        <w:rPr>
          <w:rFonts w:cstheme="minorHAnsi"/>
          <w:lang w:val="en-US"/>
        </w:rPr>
        <w:t>For example, the German KfW provides loans at favorable rates for the installation of renewable energy (a “soft loan”). However, we do not know the precise interest rates as the KfW does not share this information. We would record this as follows:</w:t>
      </w:r>
    </w:p>
    <w:p w14:paraId="4742B13D" w14:textId="20C01C0B" w:rsidR="00D617E9" w:rsidRPr="00524A62" w:rsidRDefault="00D617E9" w:rsidP="00D617E9">
      <w:pPr>
        <w:pStyle w:val="Caption"/>
        <w:rPr>
          <w:rFonts w:cstheme="minorHAnsi"/>
          <w:lang w:val="en-US"/>
        </w:rPr>
      </w:pPr>
      <w:bookmarkStart w:id="11" w:name="_Hlk219991447"/>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Pr="00551268">
        <w:rPr>
          <w:noProof/>
          <w:lang w:val="en-US"/>
        </w:rPr>
        <w:t>3</w:t>
      </w:r>
      <w:r w:rsidRPr="00551268">
        <w:rPr>
          <w:noProof/>
          <w:lang w:val="en-US"/>
        </w:rPr>
        <w:fldChar w:fldCharType="end"/>
      </w:r>
      <w:r w:rsidRPr="00551268">
        <w:rPr>
          <w:lang w:val="en-US"/>
        </w:rPr>
        <w:t xml:space="preserve">: </w:t>
      </w:r>
      <w:bookmarkEnd w:id="11"/>
      <w:r>
        <w:rPr>
          <w:lang w:val="en-US"/>
        </w:rPr>
        <w:t>Recording</w:t>
      </w:r>
      <w:r w:rsidR="00EF5D8A">
        <w:rPr>
          <w:lang w:val="en-US"/>
        </w:rPr>
        <w:t xml:space="preserve"> instruments with</w:t>
      </w:r>
      <w:r>
        <w:rPr>
          <w:lang w:val="en-US"/>
        </w:rPr>
        <w:t xml:space="preserve"> missing information</w:t>
      </w:r>
    </w:p>
    <w:tbl>
      <w:tblPr>
        <w:tblStyle w:val="TableGrid"/>
        <w:tblW w:w="9475" w:type="dxa"/>
        <w:tblLook w:val="04A0" w:firstRow="1" w:lastRow="0" w:firstColumn="1" w:lastColumn="0" w:noHBand="0" w:noVBand="1"/>
      </w:tblPr>
      <w:tblGrid>
        <w:gridCol w:w="742"/>
        <w:gridCol w:w="1125"/>
        <w:gridCol w:w="1122"/>
        <w:gridCol w:w="2011"/>
        <w:gridCol w:w="1830"/>
        <w:gridCol w:w="2645"/>
      </w:tblGrid>
      <w:tr w:rsidR="0049018D" w:rsidRPr="00524A62" w14:paraId="343D3C06" w14:textId="77777777" w:rsidTr="00361E6E">
        <w:trPr>
          <w:trHeight w:val="97"/>
        </w:trPr>
        <w:tc>
          <w:tcPr>
            <w:tcW w:w="753" w:type="dxa"/>
          </w:tcPr>
          <w:p w14:paraId="2D2D4470" w14:textId="77777777" w:rsidR="0049018D" w:rsidRPr="00524A62" w:rsidRDefault="0049018D" w:rsidP="0005606D">
            <w:pPr>
              <w:rPr>
                <w:rFonts w:cstheme="minorHAnsi"/>
                <w:b/>
                <w:bCs/>
                <w:lang w:val="en-US"/>
              </w:rPr>
            </w:pPr>
            <w:r w:rsidRPr="00524A62">
              <w:rPr>
                <w:rFonts w:cstheme="minorHAnsi"/>
                <w:b/>
                <w:bCs/>
                <w:lang w:val="en-US"/>
              </w:rPr>
              <w:t>year</w:t>
            </w:r>
          </w:p>
        </w:tc>
        <w:tc>
          <w:tcPr>
            <w:tcW w:w="1137" w:type="dxa"/>
          </w:tcPr>
          <w:p w14:paraId="3CA73CE7" w14:textId="77777777" w:rsidR="0049018D" w:rsidRPr="00524A62" w:rsidRDefault="0049018D" w:rsidP="0005606D">
            <w:pPr>
              <w:rPr>
                <w:rFonts w:cstheme="minorHAnsi"/>
                <w:b/>
                <w:bCs/>
                <w:lang w:val="en-US"/>
              </w:rPr>
            </w:pPr>
            <w:r w:rsidRPr="00524A62">
              <w:rPr>
                <w:rFonts w:cstheme="minorHAnsi"/>
                <w:b/>
                <w:bCs/>
                <w:lang w:val="en-US"/>
              </w:rPr>
              <w:t>country</w:t>
            </w:r>
          </w:p>
        </w:tc>
        <w:tc>
          <w:tcPr>
            <w:tcW w:w="1137" w:type="dxa"/>
          </w:tcPr>
          <w:p w14:paraId="76D836F1" w14:textId="77777777" w:rsidR="0049018D" w:rsidRPr="00524A62" w:rsidRDefault="0049018D" w:rsidP="0005606D">
            <w:pPr>
              <w:rPr>
                <w:rFonts w:cstheme="minorHAnsi"/>
                <w:b/>
                <w:bCs/>
                <w:lang w:val="en-US"/>
              </w:rPr>
            </w:pPr>
            <w:r w:rsidRPr="00524A62">
              <w:rPr>
                <w:rFonts w:cstheme="minorHAnsi"/>
                <w:b/>
                <w:bCs/>
                <w:lang w:val="en-US"/>
              </w:rPr>
              <w:t>measure</w:t>
            </w:r>
          </w:p>
        </w:tc>
        <w:tc>
          <w:tcPr>
            <w:tcW w:w="2023" w:type="dxa"/>
          </w:tcPr>
          <w:p w14:paraId="5FC0B143" w14:textId="77777777" w:rsidR="0049018D" w:rsidRPr="00524A62" w:rsidRDefault="0049018D" w:rsidP="0005606D">
            <w:pPr>
              <w:rPr>
                <w:rFonts w:cstheme="minorHAnsi"/>
                <w:b/>
                <w:bCs/>
                <w:lang w:val="en-US"/>
              </w:rPr>
            </w:pPr>
            <w:r w:rsidRPr="00524A62">
              <w:rPr>
                <w:rFonts w:cstheme="minorHAnsi"/>
                <w:b/>
                <w:bCs/>
                <w:lang w:val="en-US"/>
              </w:rPr>
              <w:t>loan_interest_rate</w:t>
            </w:r>
          </w:p>
        </w:tc>
        <w:tc>
          <w:tcPr>
            <w:tcW w:w="1595" w:type="dxa"/>
          </w:tcPr>
          <w:p w14:paraId="7E5D3EF6" w14:textId="7E04EF88" w:rsidR="0049018D" w:rsidRPr="00524A62" w:rsidRDefault="00EC6D3A" w:rsidP="0005606D">
            <w:pPr>
              <w:rPr>
                <w:rFonts w:cstheme="minorHAnsi"/>
                <w:b/>
                <w:bCs/>
                <w:lang w:val="en-US"/>
              </w:rPr>
            </w:pPr>
            <w:r>
              <w:rPr>
                <w:rFonts w:cstheme="minorHAnsi"/>
                <w:b/>
                <w:bCs/>
                <w:lang w:val="en-US"/>
              </w:rPr>
              <w:t>support</w:t>
            </w:r>
            <w:r w:rsidR="0049018D" w:rsidRPr="00524A62">
              <w:rPr>
                <w:rFonts w:cstheme="minorHAnsi"/>
                <w:b/>
                <w:bCs/>
                <w:lang w:val="en-US"/>
              </w:rPr>
              <w:t>_duration</w:t>
            </w:r>
          </w:p>
        </w:tc>
        <w:tc>
          <w:tcPr>
            <w:tcW w:w="2830" w:type="dxa"/>
          </w:tcPr>
          <w:p w14:paraId="5A456B96" w14:textId="77777777" w:rsidR="0049018D" w:rsidRPr="00524A62" w:rsidRDefault="0049018D" w:rsidP="0005606D">
            <w:pPr>
              <w:rPr>
                <w:rFonts w:cstheme="minorHAnsi"/>
                <w:b/>
                <w:bCs/>
                <w:lang w:val="en-US"/>
              </w:rPr>
            </w:pPr>
            <w:r w:rsidRPr="00524A62">
              <w:rPr>
                <w:rFonts w:cstheme="minorHAnsi"/>
                <w:b/>
                <w:bCs/>
                <w:lang w:val="en-US"/>
              </w:rPr>
              <w:t>notes</w:t>
            </w:r>
          </w:p>
        </w:tc>
      </w:tr>
      <w:tr w:rsidR="0049018D" w:rsidRPr="008D4356" w14:paraId="3EB0434C" w14:textId="77777777" w:rsidTr="00361E6E">
        <w:trPr>
          <w:trHeight w:val="100"/>
        </w:trPr>
        <w:tc>
          <w:tcPr>
            <w:tcW w:w="753" w:type="dxa"/>
          </w:tcPr>
          <w:p w14:paraId="2C34868D" w14:textId="77777777" w:rsidR="0049018D" w:rsidRPr="00524A62" w:rsidRDefault="0049018D" w:rsidP="0005606D">
            <w:pPr>
              <w:rPr>
                <w:rFonts w:cstheme="minorHAnsi"/>
                <w:lang w:val="en-US"/>
              </w:rPr>
            </w:pPr>
            <w:r w:rsidRPr="00524A62">
              <w:rPr>
                <w:rFonts w:cstheme="minorHAnsi"/>
                <w:lang w:val="en-US"/>
              </w:rPr>
              <w:t>2020</w:t>
            </w:r>
          </w:p>
        </w:tc>
        <w:tc>
          <w:tcPr>
            <w:tcW w:w="1137" w:type="dxa"/>
          </w:tcPr>
          <w:p w14:paraId="761A96ED" w14:textId="77777777" w:rsidR="0049018D" w:rsidRPr="00524A62" w:rsidRDefault="0049018D" w:rsidP="0005606D">
            <w:pPr>
              <w:rPr>
                <w:rFonts w:cstheme="minorHAnsi"/>
                <w:lang w:val="en-US"/>
              </w:rPr>
            </w:pPr>
            <w:r w:rsidRPr="00524A62">
              <w:rPr>
                <w:rFonts w:cstheme="minorHAnsi"/>
                <w:lang w:val="en-US"/>
              </w:rPr>
              <w:t>Germany</w:t>
            </w:r>
          </w:p>
        </w:tc>
        <w:tc>
          <w:tcPr>
            <w:tcW w:w="1137" w:type="dxa"/>
          </w:tcPr>
          <w:p w14:paraId="751CFBC7" w14:textId="77777777" w:rsidR="0049018D" w:rsidRPr="00524A62" w:rsidRDefault="0049018D" w:rsidP="0005606D">
            <w:pPr>
              <w:rPr>
                <w:rFonts w:cstheme="minorHAnsi"/>
                <w:lang w:val="en-US"/>
              </w:rPr>
            </w:pPr>
            <w:r w:rsidRPr="00524A62">
              <w:rPr>
                <w:rFonts w:cstheme="minorHAnsi"/>
                <w:lang w:val="en-US"/>
              </w:rPr>
              <w:t>soft loan</w:t>
            </w:r>
          </w:p>
        </w:tc>
        <w:tc>
          <w:tcPr>
            <w:tcW w:w="2023" w:type="dxa"/>
          </w:tcPr>
          <w:p w14:paraId="73F400E5" w14:textId="77777777" w:rsidR="0049018D" w:rsidRPr="00524A62" w:rsidRDefault="0049018D" w:rsidP="0005606D">
            <w:pPr>
              <w:rPr>
                <w:rFonts w:cstheme="minorHAnsi"/>
                <w:lang w:val="en-US"/>
              </w:rPr>
            </w:pPr>
            <w:r w:rsidRPr="00524A62">
              <w:rPr>
                <w:rFonts w:cstheme="minorHAnsi"/>
                <w:lang w:val="en-US"/>
              </w:rPr>
              <w:t>NA</w:t>
            </w:r>
          </w:p>
        </w:tc>
        <w:tc>
          <w:tcPr>
            <w:tcW w:w="1595" w:type="dxa"/>
          </w:tcPr>
          <w:p w14:paraId="72D337EA" w14:textId="77777777" w:rsidR="0049018D" w:rsidRPr="00524A62" w:rsidRDefault="0049018D" w:rsidP="0005606D">
            <w:pPr>
              <w:rPr>
                <w:rFonts w:cstheme="minorHAnsi"/>
                <w:lang w:val="en-US"/>
              </w:rPr>
            </w:pPr>
            <w:r w:rsidRPr="00524A62">
              <w:rPr>
                <w:rFonts w:cstheme="minorHAnsi"/>
                <w:lang w:val="en-US"/>
              </w:rPr>
              <w:t>10 years</w:t>
            </w:r>
          </w:p>
        </w:tc>
        <w:tc>
          <w:tcPr>
            <w:tcW w:w="2830" w:type="dxa"/>
          </w:tcPr>
          <w:p w14:paraId="2C150D69" w14:textId="77777777" w:rsidR="0049018D" w:rsidRPr="00524A62" w:rsidRDefault="0049018D" w:rsidP="0005606D">
            <w:pPr>
              <w:rPr>
                <w:rFonts w:cstheme="minorHAnsi"/>
                <w:lang w:val="en-US"/>
              </w:rPr>
            </w:pPr>
            <w:r w:rsidRPr="00524A62">
              <w:rPr>
                <w:rFonts w:cstheme="minorHAnsi"/>
                <w:lang w:val="en-US"/>
              </w:rPr>
              <w:t>The yearly interest rate was recorded by the EU in the source as 1.03 %, but it varies daily and according to market conditions and is determined by the KfW when the loan is recorded.</w:t>
            </w:r>
          </w:p>
        </w:tc>
      </w:tr>
    </w:tbl>
    <w:p w14:paraId="0B127F66" w14:textId="77777777" w:rsidR="0049018D" w:rsidRPr="00524A62" w:rsidRDefault="0049018D" w:rsidP="0049018D">
      <w:pPr>
        <w:rPr>
          <w:rFonts w:cstheme="minorHAnsi"/>
          <w:lang w:val="en-US"/>
        </w:rPr>
      </w:pPr>
    </w:p>
    <w:p w14:paraId="5FAE15CA" w14:textId="6768F491" w:rsidR="0049018D" w:rsidRPr="00524A62" w:rsidRDefault="0049018D" w:rsidP="0049018D">
      <w:pPr>
        <w:rPr>
          <w:rFonts w:cstheme="minorHAnsi"/>
          <w:lang w:val="en-US"/>
        </w:rPr>
      </w:pPr>
      <w:r w:rsidRPr="00524A62">
        <w:rPr>
          <w:rFonts w:cstheme="minorHAnsi"/>
          <w:lang w:val="en-US"/>
        </w:rPr>
        <w:t>In other cases, we know some details of a policy but not all of the</w:t>
      </w:r>
      <w:r w:rsidR="00E46534" w:rsidRPr="00524A62">
        <w:rPr>
          <w:rFonts w:cstheme="minorHAnsi"/>
          <w:lang w:val="en-US"/>
        </w:rPr>
        <w:t>m</w:t>
      </w:r>
      <w:r w:rsidRPr="00524A62">
        <w:rPr>
          <w:rFonts w:cstheme="minorHAnsi"/>
          <w:lang w:val="en-US"/>
        </w:rPr>
        <w:t xml:space="preserve">. For example, we might know about a </w:t>
      </w:r>
      <w:r w:rsidR="0044289B" w:rsidRPr="00524A62">
        <w:rPr>
          <w:rFonts w:cstheme="minorHAnsi"/>
          <w:lang w:val="en-US"/>
        </w:rPr>
        <w:t>grant</w:t>
      </w:r>
      <w:r w:rsidRPr="00524A62">
        <w:rPr>
          <w:rFonts w:cstheme="minorHAnsi"/>
          <w:lang w:val="en-US"/>
        </w:rPr>
        <w:t xml:space="preserve"> to purchase solar panels that existed, but not all the details for every year. Here is how we would record it if:</w:t>
      </w:r>
    </w:p>
    <w:p w14:paraId="3486C6E4" w14:textId="77777777" w:rsidR="0049018D" w:rsidRPr="00524A62" w:rsidRDefault="0049018D" w:rsidP="0049018D">
      <w:pPr>
        <w:pStyle w:val="ListParagraph"/>
        <w:numPr>
          <w:ilvl w:val="0"/>
          <w:numId w:val="12"/>
        </w:numPr>
        <w:rPr>
          <w:rFonts w:cstheme="minorHAnsi"/>
          <w:lang w:val="en-US"/>
        </w:rPr>
      </w:pPr>
      <w:r w:rsidRPr="00524A62">
        <w:rPr>
          <w:rFonts w:cstheme="minorHAnsi"/>
          <w:lang w:val="en-US"/>
        </w:rPr>
        <w:t>In the year 2000 the policy was introduced, but we couldn’t find any more details on it.</w:t>
      </w:r>
    </w:p>
    <w:p w14:paraId="3188F0DF" w14:textId="36A8641E" w:rsidR="0049018D" w:rsidRPr="00524A62" w:rsidRDefault="0049018D" w:rsidP="0049018D">
      <w:pPr>
        <w:pStyle w:val="ListParagraph"/>
        <w:numPr>
          <w:ilvl w:val="0"/>
          <w:numId w:val="12"/>
        </w:numPr>
        <w:rPr>
          <w:rFonts w:cstheme="minorHAnsi"/>
          <w:lang w:val="en-US"/>
        </w:rPr>
      </w:pPr>
      <w:r w:rsidRPr="00524A62">
        <w:rPr>
          <w:rFonts w:cstheme="minorHAnsi"/>
          <w:lang w:val="en-US"/>
        </w:rPr>
        <w:lastRenderedPageBreak/>
        <w:t xml:space="preserve">In the year 2001, the previous </w:t>
      </w:r>
      <w:r w:rsidR="0044289B" w:rsidRPr="00524A62">
        <w:rPr>
          <w:rFonts w:cstheme="minorHAnsi"/>
          <w:lang w:val="en-US"/>
        </w:rPr>
        <w:t>grant</w:t>
      </w:r>
      <w:r w:rsidRPr="00524A62">
        <w:rPr>
          <w:rFonts w:cstheme="minorHAnsi"/>
          <w:lang w:val="en-US"/>
        </w:rPr>
        <w:t xml:space="preserve"> (level unknown) was raised to EUR 1000 per PV panel installed. There was a cap on how much a recipient could get (</w:t>
      </w:r>
      <w:r w:rsidR="005A02AB" w:rsidRPr="00524A62">
        <w:rPr>
          <w:rFonts w:cstheme="minorHAnsi"/>
          <w:lang w:val="en-US"/>
        </w:rPr>
        <w:t>i.e.,</w:t>
      </w:r>
      <w:r w:rsidRPr="00524A62">
        <w:rPr>
          <w:rFonts w:cstheme="minorHAnsi"/>
          <w:lang w:val="en-US"/>
        </w:rPr>
        <w:t xml:space="preserve"> you couldn’t install 100 solar panels and get EUR 100000), but we don’t know how much it was.</w:t>
      </w:r>
    </w:p>
    <w:p w14:paraId="6D8D5EE5" w14:textId="77777777" w:rsidR="0049018D" w:rsidRPr="00524A62" w:rsidRDefault="0049018D" w:rsidP="0049018D">
      <w:pPr>
        <w:pStyle w:val="ListParagraph"/>
        <w:numPr>
          <w:ilvl w:val="0"/>
          <w:numId w:val="12"/>
        </w:numPr>
        <w:rPr>
          <w:rFonts w:cstheme="minorHAnsi"/>
          <w:lang w:val="en-US"/>
        </w:rPr>
      </w:pPr>
      <w:r w:rsidRPr="00524A62">
        <w:rPr>
          <w:rFonts w:cstheme="minorHAnsi"/>
          <w:lang w:val="en-US"/>
        </w:rPr>
        <w:t>In the year 2002, the government raised the cap to EUR 3000 per recipient.</w:t>
      </w:r>
    </w:p>
    <w:p w14:paraId="637E66C2" w14:textId="77777777" w:rsidR="0049018D" w:rsidRPr="00524A62" w:rsidRDefault="0049018D" w:rsidP="0049018D">
      <w:pPr>
        <w:pStyle w:val="ListParagraph"/>
        <w:numPr>
          <w:ilvl w:val="0"/>
          <w:numId w:val="12"/>
        </w:numPr>
        <w:rPr>
          <w:rFonts w:cstheme="minorHAnsi"/>
          <w:lang w:val="en-US"/>
        </w:rPr>
      </w:pPr>
      <w:r w:rsidRPr="00524A62">
        <w:rPr>
          <w:rFonts w:cstheme="minorHAnsi"/>
          <w:lang w:val="en-US"/>
        </w:rPr>
        <w:t>In the year 2003, the government removed the cap.</w:t>
      </w:r>
    </w:p>
    <w:p w14:paraId="03390C27" w14:textId="24B47606" w:rsidR="0049018D" w:rsidRPr="00524A62" w:rsidRDefault="0049018D" w:rsidP="0049018D">
      <w:pPr>
        <w:pStyle w:val="ListParagraph"/>
        <w:numPr>
          <w:ilvl w:val="0"/>
          <w:numId w:val="12"/>
        </w:numPr>
        <w:rPr>
          <w:rFonts w:cstheme="minorHAnsi"/>
          <w:lang w:val="en-US"/>
        </w:rPr>
      </w:pPr>
      <w:r w:rsidRPr="00524A62">
        <w:rPr>
          <w:rFonts w:cstheme="minorHAnsi"/>
          <w:lang w:val="en-US"/>
        </w:rPr>
        <w:t xml:space="preserve">In the year 2004, a new government was elected and cancelled the </w:t>
      </w:r>
      <w:r w:rsidR="0044289B" w:rsidRPr="00524A62">
        <w:rPr>
          <w:rFonts w:cstheme="minorHAnsi"/>
          <w:lang w:val="en-US"/>
        </w:rPr>
        <w:t>grant</w:t>
      </w:r>
      <w:r w:rsidRPr="00524A62">
        <w:rPr>
          <w:rFonts w:cstheme="minorHAnsi"/>
          <w:lang w:val="en-US"/>
        </w:rPr>
        <w:t>.</w:t>
      </w:r>
    </w:p>
    <w:p w14:paraId="3E93E852" w14:textId="050098F5" w:rsidR="0049018D" w:rsidRDefault="0049018D" w:rsidP="0049018D">
      <w:pPr>
        <w:pStyle w:val="ListParagraph"/>
        <w:numPr>
          <w:ilvl w:val="0"/>
          <w:numId w:val="12"/>
        </w:numPr>
        <w:rPr>
          <w:rFonts w:cstheme="minorHAnsi"/>
          <w:lang w:val="en-US"/>
        </w:rPr>
      </w:pPr>
      <w:r w:rsidRPr="00524A62">
        <w:rPr>
          <w:rFonts w:cstheme="minorHAnsi"/>
          <w:lang w:val="en-US"/>
        </w:rPr>
        <w:t>In the year 2005, there is no evidence of any</w:t>
      </w:r>
      <w:r w:rsidR="00FF00B0" w:rsidRPr="00524A62">
        <w:rPr>
          <w:rFonts w:cstheme="minorHAnsi"/>
          <w:lang w:val="en-US"/>
        </w:rPr>
        <w:t xml:space="preserve"> grants</w:t>
      </w:r>
      <w:r w:rsidRPr="00524A62">
        <w:rPr>
          <w:rFonts w:cstheme="minorHAnsi"/>
          <w:lang w:val="en-US"/>
        </w:rPr>
        <w:t xml:space="preserve"> existing.</w:t>
      </w:r>
    </w:p>
    <w:p w14:paraId="02F8A302" w14:textId="17852AA3" w:rsidR="00EF5D8A" w:rsidRPr="00EF5D8A" w:rsidRDefault="00EF5D8A" w:rsidP="00EF5D8A">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4</w:t>
      </w:r>
      <w:r w:rsidRPr="00551268">
        <w:rPr>
          <w:noProof/>
          <w:lang w:val="en-US"/>
        </w:rPr>
        <w:fldChar w:fldCharType="end"/>
      </w:r>
      <w:r w:rsidRPr="00551268">
        <w:rPr>
          <w:lang w:val="en-US"/>
        </w:rPr>
        <w:t xml:space="preserve">: </w:t>
      </w:r>
      <w:r>
        <w:rPr>
          <w:lang w:val="en-US"/>
        </w:rPr>
        <w:t>Recording instruments with missing information</w:t>
      </w:r>
    </w:p>
    <w:tbl>
      <w:tblPr>
        <w:tblStyle w:val="TableGrid"/>
        <w:tblW w:w="5649" w:type="pct"/>
        <w:tblLook w:val="04A0" w:firstRow="1" w:lastRow="0" w:firstColumn="1" w:lastColumn="0" w:noHBand="0" w:noVBand="1"/>
      </w:tblPr>
      <w:tblGrid>
        <w:gridCol w:w="541"/>
        <w:gridCol w:w="793"/>
        <w:gridCol w:w="1163"/>
        <w:gridCol w:w="1196"/>
        <w:gridCol w:w="541"/>
        <w:gridCol w:w="1187"/>
        <w:gridCol w:w="939"/>
        <w:gridCol w:w="1073"/>
        <w:gridCol w:w="843"/>
        <w:gridCol w:w="1104"/>
        <w:gridCol w:w="858"/>
      </w:tblGrid>
      <w:tr w:rsidR="0049018D" w:rsidRPr="00524A62" w14:paraId="42207BE7" w14:textId="77777777" w:rsidTr="00F85391">
        <w:trPr>
          <w:trHeight w:val="5"/>
        </w:trPr>
        <w:tc>
          <w:tcPr>
            <w:tcW w:w="264" w:type="pct"/>
          </w:tcPr>
          <w:p w14:paraId="4B445574" w14:textId="77777777" w:rsidR="0049018D" w:rsidRPr="00524A62" w:rsidRDefault="0049018D" w:rsidP="0005606D">
            <w:pPr>
              <w:rPr>
                <w:rFonts w:cstheme="minorHAnsi"/>
                <w:b/>
                <w:bCs/>
                <w:sz w:val="16"/>
                <w:szCs w:val="16"/>
                <w:lang w:val="en-US"/>
              </w:rPr>
            </w:pPr>
            <w:r w:rsidRPr="00524A62">
              <w:rPr>
                <w:rFonts w:cstheme="minorHAnsi"/>
                <w:b/>
                <w:bCs/>
                <w:sz w:val="16"/>
                <w:szCs w:val="16"/>
                <w:lang w:val="en-US"/>
              </w:rPr>
              <w:t>year</w:t>
            </w:r>
          </w:p>
        </w:tc>
        <w:tc>
          <w:tcPr>
            <w:tcW w:w="387" w:type="pct"/>
          </w:tcPr>
          <w:p w14:paraId="178F0E72" w14:textId="77777777" w:rsidR="0049018D" w:rsidRPr="00524A62" w:rsidRDefault="0049018D" w:rsidP="0005606D">
            <w:pPr>
              <w:rPr>
                <w:rFonts w:cstheme="minorHAnsi"/>
                <w:b/>
                <w:bCs/>
                <w:sz w:val="16"/>
                <w:szCs w:val="16"/>
                <w:lang w:val="en-US"/>
              </w:rPr>
            </w:pPr>
            <w:r w:rsidRPr="00524A62">
              <w:rPr>
                <w:rFonts w:cstheme="minorHAnsi"/>
                <w:b/>
                <w:bCs/>
                <w:sz w:val="16"/>
                <w:szCs w:val="16"/>
                <w:lang w:val="en-US"/>
              </w:rPr>
              <w:t>measure</w:t>
            </w:r>
          </w:p>
        </w:tc>
        <w:tc>
          <w:tcPr>
            <w:tcW w:w="568" w:type="pct"/>
          </w:tcPr>
          <w:p w14:paraId="6629F3F1" w14:textId="77777777" w:rsidR="0049018D" w:rsidRPr="00524A62" w:rsidRDefault="0049018D" w:rsidP="0005606D">
            <w:pPr>
              <w:rPr>
                <w:rFonts w:cstheme="minorHAnsi"/>
                <w:b/>
                <w:bCs/>
                <w:sz w:val="16"/>
                <w:szCs w:val="16"/>
                <w:lang w:val="en-US"/>
              </w:rPr>
            </w:pPr>
            <w:r w:rsidRPr="00524A62">
              <w:rPr>
                <w:rFonts w:cstheme="minorHAnsi"/>
                <w:b/>
                <w:bCs/>
                <w:sz w:val="16"/>
                <w:szCs w:val="16"/>
                <w:lang w:val="en-US"/>
              </w:rPr>
              <w:t>policy_change</w:t>
            </w:r>
          </w:p>
        </w:tc>
        <w:tc>
          <w:tcPr>
            <w:tcW w:w="584" w:type="pct"/>
          </w:tcPr>
          <w:p w14:paraId="72805E28" w14:textId="77777777" w:rsidR="0049018D" w:rsidRPr="00524A62" w:rsidRDefault="0049018D" w:rsidP="0005606D">
            <w:pPr>
              <w:rPr>
                <w:rFonts w:cstheme="minorHAnsi"/>
                <w:b/>
                <w:bCs/>
                <w:sz w:val="16"/>
                <w:szCs w:val="16"/>
                <w:lang w:val="en-US"/>
              </w:rPr>
            </w:pPr>
            <w:r w:rsidRPr="00524A62">
              <w:rPr>
                <w:rFonts w:cstheme="minorHAnsi"/>
                <w:b/>
                <w:bCs/>
                <w:sz w:val="16"/>
                <w:szCs w:val="16"/>
                <w:lang w:val="en-US"/>
              </w:rPr>
              <w:t>what_changed</w:t>
            </w:r>
          </w:p>
        </w:tc>
        <w:tc>
          <w:tcPr>
            <w:tcW w:w="264" w:type="pct"/>
          </w:tcPr>
          <w:p w14:paraId="41A91D2B" w14:textId="77777777" w:rsidR="0049018D" w:rsidRPr="00524A62" w:rsidRDefault="0049018D" w:rsidP="0005606D">
            <w:pPr>
              <w:rPr>
                <w:rFonts w:cstheme="minorHAnsi"/>
                <w:b/>
                <w:bCs/>
                <w:sz w:val="16"/>
                <w:szCs w:val="16"/>
                <w:lang w:val="en-US"/>
              </w:rPr>
            </w:pPr>
            <w:r w:rsidRPr="00524A62">
              <w:rPr>
                <w:rFonts w:cstheme="minorHAnsi"/>
                <w:b/>
                <w:bCs/>
                <w:sz w:val="16"/>
                <w:szCs w:val="16"/>
                <w:lang w:val="en-US"/>
              </w:rPr>
              <w:t>level</w:t>
            </w:r>
          </w:p>
        </w:tc>
        <w:tc>
          <w:tcPr>
            <w:tcW w:w="580" w:type="pct"/>
          </w:tcPr>
          <w:p w14:paraId="0FD0BF2F" w14:textId="77777777" w:rsidR="0049018D" w:rsidRPr="00524A62" w:rsidRDefault="0049018D" w:rsidP="0005606D">
            <w:pPr>
              <w:rPr>
                <w:rFonts w:cstheme="minorHAnsi"/>
                <w:b/>
                <w:bCs/>
                <w:sz w:val="16"/>
                <w:szCs w:val="16"/>
                <w:lang w:val="en-US"/>
              </w:rPr>
            </w:pPr>
            <w:r w:rsidRPr="00524A62">
              <w:rPr>
                <w:rFonts w:cstheme="minorHAnsi"/>
                <w:b/>
                <w:bCs/>
                <w:sz w:val="16"/>
                <w:szCs w:val="16"/>
                <w:lang w:val="en-US"/>
              </w:rPr>
              <w:t>level_currency</w:t>
            </w:r>
          </w:p>
        </w:tc>
        <w:tc>
          <w:tcPr>
            <w:tcW w:w="459" w:type="pct"/>
          </w:tcPr>
          <w:p w14:paraId="56432944" w14:textId="77777777" w:rsidR="0049018D" w:rsidRPr="00524A62" w:rsidRDefault="0049018D" w:rsidP="0005606D">
            <w:pPr>
              <w:rPr>
                <w:rFonts w:cstheme="minorHAnsi"/>
                <w:b/>
                <w:bCs/>
                <w:sz w:val="16"/>
                <w:szCs w:val="16"/>
                <w:lang w:val="en-US"/>
              </w:rPr>
            </w:pPr>
            <w:r w:rsidRPr="00524A62">
              <w:rPr>
                <w:rFonts w:cstheme="minorHAnsi"/>
                <w:b/>
                <w:bCs/>
                <w:sz w:val="16"/>
                <w:szCs w:val="16"/>
                <w:lang w:val="en-US"/>
              </w:rPr>
              <w:t>level_unit</w:t>
            </w:r>
          </w:p>
        </w:tc>
        <w:tc>
          <w:tcPr>
            <w:tcW w:w="524" w:type="pct"/>
          </w:tcPr>
          <w:p w14:paraId="69930292" w14:textId="77777777" w:rsidR="0049018D" w:rsidRPr="00524A62" w:rsidRDefault="0049018D" w:rsidP="0005606D">
            <w:pPr>
              <w:rPr>
                <w:rFonts w:cstheme="minorHAnsi"/>
                <w:b/>
                <w:bCs/>
                <w:sz w:val="16"/>
                <w:szCs w:val="16"/>
                <w:lang w:val="en-US"/>
              </w:rPr>
            </w:pPr>
            <w:r w:rsidRPr="00524A62">
              <w:rPr>
                <w:rFonts w:cstheme="minorHAnsi"/>
                <w:b/>
                <w:bCs/>
                <w:sz w:val="16"/>
                <w:szCs w:val="16"/>
                <w:lang w:val="en-US"/>
              </w:rPr>
              <w:t>cap_possible</w:t>
            </w:r>
          </w:p>
        </w:tc>
        <w:tc>
          <w:tcPr>
            <w:tcW w:w="412" w:type="pct"/>
          </w:tcPr>
          <w:p w14:paraId="47D69852" w14:textId="77777777" w:rsidR="0049018D" w:rsidRPr="00524A62" w:rsidRDefault="0049018D" w:rsidP="0005606D">
            <w:pPr>
              <w:rPr>
                <w:rFonts w:cstheme="minorHAnsi"/>
                <w:b/>
                <w:bCs/>
                <w:sz w:val="16"/>
                <w:szCs w:val="16"/>
                <w:lang w:val="en-US"/>
              </w:rPr>
            </w:pPr>
            <w:r w:rsidRPr="00524A62">
              <w:rPr>
                <w:rFonts w:cstheme="minorHAnsi"/>
                <w:b/>
                <w:bCs/>
                <w:sz w:val="16"/>
                <w:szCs w:val="16"/>
                <w:lang w:val="en-US"/>
              </w:rPr>
              <w:t>cap_level</w:t>
            </w:r>
          </w:p>
        </w:tc>
        <w:tc>
          <w:tcPr>
            <w:tcW w:w="539" w:type="pct"/>
          </w:tcPr>
          <w:p w14:paraId="0E9E503E" w14:textId="77777777" w:rsidR="0049018D" w:rsidRPr="00524A62" w:rsidRDefault="0049018D" w:rsidP="0005606D">
            <w:pPr>
              <w:rPr>
                <w:rFonts w:cstheme="minorHAnsi"/>
                <w:b/>
                <w:bCs/>
                <w:sz w:val="16"/>
                <w:szCs w:val="16"/>
                <w:lang w:val="en-US"/>
              </w:rPr>
            </w:pPr>
            <w:r w:rsidRPr="00524A62">
              <w:rPr>
                <w:rFonts w:cstheme="minorHAnsi"/>
                <w:b/>
                <w:bCs/>
                <w:sz w:val="16"/>
                <w:szCs w:val="16"/>
                <w:lang w:val="en-US"/>
              </w:rPr>
              <w:t>cap_currency</w:t>
            </w:r>
          </w:p>
        </w:tc>
        <w:tc>
          <w:tcPr>
            <w:tcW w:w="419" w:type="pct"/>
          </w:tcPr>
          <w:p w14:paraId="6A7914D1" w14:textId="76FFC8F4" w:rsidR="0049018D" w:rsidRPr="00524A62" w:rsidRDefault="0049018D" w:rsidP="0005606D">
            <w:pPr>
              <w:rPr>
                <w:rFonts w:cstheme="minorHAnsi"/>
                <w:b/>
                <w:bCs/>
                <w:sz w:val="16"/>
                <w:szCs w:val="16"/>
                <w:lang w:val="en-US"/>
              </w:rPr>
            </w:pPr>
            <w:r w:rsidRPr="00524A62">
              <w:rPr>
                <w:rFonts w:cstheme="minorHAnsi"/>
                <w:b/>
                <w:bCs/>
                <w:sz w:val="16"/>
                <w:szCs w:val="16"/>
                <w:lang w:val="en-US"/>
              </w:rPr>
              <w:t>cap_unit</w:t>
            </w:r>
            <w:r w:rsidR="00E615C6" w:rsidRPr="00524A62">
              <w:rPr>
                <w:rFonts w:cstheme="minorHAnsi"/>
                <w:b/>
                <w:bCs/>
                <w:sz w:val="16"/>
                <w:szCs w:val="16"/>
                <w:lang w:val="en-US"/>
              </w:rPr>
              <w:t>s</w:t>
            </w:r>
          </w:p>
        </w:tc>
      </w:tr>
      <w:tr w:rsidR="0049018D" w:rsidRPr="00524A62" w14:paraId="4F015F72" w14:textId="77777777" w:rsidTr="00F85391">
        <w:trPr>
          <w:trHeight w:val="5"/>
        </w:trPr>
        <w:tc>
          <w:tcPr>
            <w:tcW w:w="264" w:type="pct"/>
          </w:tcPr>
          <w:p w14:paraId="733E2EEC" w14:textId="77777777" w:rsidR="0049018D" w:rsidRPr="00524A62" w:rsidRDefault="0049018D" w:rsidP="0005606D">
            <w:pPr>
              <w:rPr>
                <w:rFonts w:cstheme="minorHAnsi"/>
                <w:sz w:val="16"/>
                <w:szCs w:val="16"/>
                <w:lang w:val="en-US"/>
              </w:rPr>
            </w:pPr>
            <w:r w:rsidRPr="00524A62">
              <w:rPr>
                <w:rFonts w:cstheme="minorHAnsi"/>
                <w:sz w:val="16"/>
                <w:szCs w:val="16"/>
                <w:lang w:val="en-US"/>
              </w:rPr>
              <w:t>2000</w:t>
            </w:r>
          </w:p>
        </w:tc>
        <w:tc>
          <w:tcPr>
            <w:tcW w:w="387" w:type="pct"/>
          </w:tcPr>
          <w:p w14:paraId="339B040E" w14:textId="0C75845E" w:rsidR="0049018D" w:rsidRPr="00524A62" w:rsidRDefault="0044289B" w:rsidP="0005606D">
            <w:pPr>
              <w:rPr>
                <w:rFonts w:cstheme="minorHAnsi"/>
                <w:sz w:val="16"/>
                <w:szCs w:val="16"/>
                <w:lang w:val="en-US"/>
              </w:rPr>
            </w:pPr>
            <w:r w:rsidRPr="00524A62">
              <w:rPr>
                <w:rFonts w:cstheme="minorHAnsi"/>
                <w:sz w:val="16"/>
                <w:szCs w:val="16"/>
                <w:lang w:val="en-US"/>
              </w:rPr>
              <w:t>grant</w:t>
            </w:r>
          </w:p>
        </w:tc>
        <w:tc>
          <w:tcPr>
            <w:tcW w:w="568" w:type="pct"/>
          </w:tcPr>
          <w:p w14:paraId="5CF74B5A" w14:textId="77777777" w:rsidR="0049018D" w:rsidRPr="00524A62" w:rsidRDefault="0049018D" w:rsidP="0005606D">
            <w:pPr>
              <w:rPr>
                <w:rFonts w:cstheme="minorHAnsi"/>
                <w:sz w:val="16"/>
                <w:szCs w:val="16"/>
                <w:lang w:val="en-US"/>
              </w:rPr>
            </w:pPr>
            <w:r w:rsidRPr="00524A62">
              <w:rPr>
                <w:rFonts w:cstheme="minorHAnsi"/>
                <w:sz w:val="16"/>
                <w:szCs w:val="16"/>
                <w:lang w:val="en-US"/>
              </w:rPr>
              <w:t>yes</w:t>
            </w:r>
          </w:p>
        </w:tc>
        <w:tc>
          <w:tcPr>
            <w:tcW w:w="584" w:type="pct"/>
          </w:tcPr>
          <w:p w14:paraId="1612935D" w14:textId="77777777" w:rsidR="0049018D" w:rsidRPr="00524A62" w:rsidRDefault="0049018D" w:rsidP="0005606D">
            <w:pPr>
              <w:rPr>
                <w:rFonts w:cstheme="minorHAnsi"/>
                <w:sz w:val="16"/>
                <w:szCs w:val="16"/>
                <w:lang w:val="en-US"/>
              </w:rPr>
            </w:pPr>
            <w:r w:rsidRPr="00524A62">
              <w:rPr>
                <w:rFonts w:cstheme="minorHAnsi"/>
                <w:sz w:val="16"/>
                <w:szCs w:val="16"/>
                <w:lang w:val="en-US"/>
              </w:rPr>
              <w:t>introduced</w:t>
            </w:r>
          </w:p>
        </w:tc>
        <w:tc>
          <w:tcPr>
            <w:tcW w:w="264" w:type="pct"/>
          </w:tcPr>
          <w:p w14:paraId="61AC1E31"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580" w:type="pct"/>
          </w:tcPr>
          <w:p w14:paraId="230F1B9D"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459" w:type="pct"/>
          </w:tcPr>
          <w:p w14:paraId="15A31966"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524" w:type="pct"/>
          </w:tcPr>
          <w:p w14:paraId="2D121CD9"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412" w:type="pct"/>
          </w:tcPr>
          <w:p w14:paraId="2AE96C8D"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539" w:type="pct"/>
          </w:tcPr>
          <w:p w14:paraId="57F62E25"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419" w:type="pct"/>
          </w:tcPr>
          <w:p w14:paraId="1A5521E0"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r>
      <w:tr w:rsidR="0049018D" w:rsidRPr="00524A62" w14:paraId="20C85758" w14:textId="77777777" w:rsidTr="00F85391">
        <w:trPr>
          <w:trHeight w:val="5"/>
        </w:trPr>
        <w:tc>
          <w:tcPr>
            <w:tcW w:w="264" w:type="pct"/>
          </w:tcPr>
          <w:p w14:paraId="02B786CA" w14:textId="77777777" w:rsidR="0049018D" w:rsidRPr="00524A62" w:rsidRDefault="0049018D" w:rsidP="0005606D">
            <w:pPr>
              <w:rPr>
                <w:rFonts w:cstheme="minorHAnsi"/>
                <w:sz w:val="16"/>
                <w:szCs w:val="16"/>
                <w:lang w:val="en-US"/>
              </w:rPr>
            </w:pPr>
            <w:r w:rsidRPr="00524A62">
              <w:rPr>
                <w:rFonts w:cstheme="minorHAnsi"/>
                <w:sz w:val="16"/>
                <w:szCs w:val="16"/>
                <w:lang w:val="en-US"/>
              </w:rPr>
              <w:t>2001</w:t>
            </w:r>
          </w:p>
        </w:tc>
        <w:tc>
          <w:tcPr>
            <w:tcW w:w="387" w:type="pct"/>
          </w:tcPr>
          <w:p w14:paraId="55BA95D9" w14:textId="75F28356" w:rsidR="0049018D" w:rsidRPr="00524A62" w:rsidRDefault="0044289B" w:rsidP="0005606D">
            <w:pPr>
              <w:rPr>
                <w:rFonts w:cstheme="minorHAnsi"/>
                <w:sz w:val="16"/>
                <w:szCs w:val="16"/>
                <w:lang w:val="en-US"/>
              </w:rPr>
            </w:pPr>
            <w:r w:rsidRPr="00524A62">
              <w:rPr>
                <w:rFonts w:cstheme="minorHAnsi"/>
                <w:sz w:val="16"/>
                <w:szCs w:val="16"/>
                <w:lang w:val="en-US"/>
              </w:rPr>
              <w:t>grant</w:t>
            </w:r>
          </w:p>
        </w:tc>
        <w:tc>
          <w:tcPr>
            <w:tcW w:w="568" w:type="pct"/>
          </w:tcPr>
          <w:p w14:paraId="721394F3" w14:textId="77777777" w:rsidR="0049018D" w:rsidRPr="00524A62" w:rsidRDefault="0049018D" w:rsidP="0005606D">
            <w:pPr>
              <w:rPr>
                <w:rFonts w:cstheme="minorHAnsi"/>
                <w:sz w:val="16"/>
                <w:szCs w:val="16"/>
                <w:lang w:val="en-US"/>
              </w:rPr>
            </w:pPr>
            <w:r w:rsidRPr="00524A62">
              <w:rPr>
                <w:rFonts w:cstheme="minorHAnsi"/>
                <w:sz w:val="16"/>
                <w:szCs w:val="16"/>
                <w:lang w:val="en-US"/>
              </w:rPr>
              <w:t>yes</w:t>
            </w:r>
          </w:p>
        </w:tc>
        <w:tc>
          <w:tcPr>
            <w:tcW w:w="584" w:type="pct"/>
          </w:tcPr>
          <w:p w14:paraId="74462D6E" w14:textId="2B633B1A" w:rsidR="0049018D" w:rsidRPr="00524A62" w:rsidRDefault="0044289B" w:rsidP="0005606D">
            <w:pPr>
              <w:rPr>
                <w:rFonts w:cstheme="minorHAnsi"/>
                <w:sz w:val="16"/>
                <w:szCs w:val="16"/>
                <w:lang w:val="en-US"/>
              </w:rPr>
            </w:pPr>
            <w:r w:rsidRPr="00524A62">
              <w:rPr>
                <w:rFonts w:cstheme="minorHAnsi"/>
                <w:sz w:val="16"/>
                <w:szCs w:val="16"/>
                <w:lang w:val="en-US"/>
              </w:rPr>
              <w:t>grant</w:t>
            </w:r>
            <w:r w:rsidR="0049018D" w:rsidRPr="00524A62">
              <w:rPr>
                <w:rFonts w:cstheme="minorHAnsi"/>
                <w:sz w:val="16"/>
                <w:szCs w:val="16"/>
                <w:lang w:val="en-US"/>
              </w:rPr>
              <w:t xml:space="preserve"> increased</w:t>
            </w:r>
          </w:p>
        </w:tc>
        <w:tc>
          <w:tcPr>
            <w:tcW w:w="264" w:type="pct"/>
          </w:tcPr>
          <w:p w14:paraId="4349B83E" w14:textId="77777777" w:rsidR="0049018D" w:rsidRPr="00524A62" w:rsidRDefault="0049018D" w:rsidP="0005606D">
            <w:pPr>
              <w:rPr>
                <w:rFonts w:cstheme="minorHAnsi"/>
                <w:sz w:val="16"/>
                <w:szCs w:val="16"/>
                <w:lang w:val="en-US"/>
              </w:rPr>
            </w:pPr>
            <w:r w:rsidRPr="00524A62">
              <w:rPr>
                <w:rFonts w:cstheme="minorHAnsi"/>
                <w:sz w:val="16"/>
                <w:szCs w:val="16"/>
                <w:lang w:val="en-US"/>
              </w:rPr>
              <w:t>1000</w:t>
            </w:r>
          </w:p>
        </w:tc>
        <w:tc>
          <w:tcPr>
            <w:tcW w:w="580" w:type="pct"/>
          </w:tcPr>
          <w:p w14:paraId="7E2DEFEC" w14:textId="77777777" w:rsidR="0049018D" w:rsidRPr="00524A62" w:rsidRDefault="0049018D" w:rsidP="0005606D">
            <w:pPr>
              <w:rPr>
                <w:rFonts w:cstheme="minorHAnsi"/>
                <w:sz w:val="16"/>
                <w:szCs w:val="16"/>
                <w:lang w:val="en-US"/>
              </w:rPr>
            </w:pPr>
            <w:r w:rsidRPr="00524A62">
              <w:rPr>
                <w:rFonts w:cstheme="minorHAnsi"/>
                <w:sz w:val="16"/>
                <w:szCs w:val="16"/>
                <w:lang w:val="en-US"/>
              </w:rPr>
              <w:t>EUR</w:t>
            </w:r>
          </w:p>
        </w:tc>
        <w:tc>
          <w:tcPr>
            <w:tcW w:w="459" w:type="pct"/>
          </w:tcPr>
          <w:p w14:paraId="435A22ED" w14:textId="77777777" w:rsidR="0049018D" w:rsidRPr="00524A62" w:rsidRDefault="0049018D" w:rsidP="0005606D">
            <w:pPr>
              <w:rPr>
                <w:rFonts w:cstheme="minorHAnsi"/>
                <w:sz w:val="16"/>
                <w:szCs w:val="16"/>
                <w:lang w:val="en-US"/>
              </w:rPr>
            </w:pPr>
            <w:r w:rsidRPr="00524A62">
              <w:rPr>
                <w:rFonts w:cstheme="minorHAnsi"/>
                <w:sz w:val="16"/>
                <w:szCs w:val="16"/>
                <w:lang w:val="en-US"/>
              </w:rPr>
              <w:t>per installation</w:t>
            </w:r>
          </w:p>
        </w:tc>
        <w:tc>
          <w:tcPr>
            <w:tcW w:w="524" w:type="pct"/>
          </w:tcPr>
          <w:p w14:paraId="73FAB10A" w14:textId="77777777" w:rsidR="0049018D" w:rsidRPr="00524A62" w:rsidRDefault="0049018D" w:rsidP="0005606D">
            <w:pPr>
              <w:rPr>
                <w:rFonts w:cstheme="minorHAnsi"/>
                <w:sz w:val="16"/>
                <w:szCs w:val="16"/>
                <w:lang w:val="en-US"/>
              </w:rPr>
            </w:pPr>
            <w:r w:rsidRPr="00524A62">
              <w:rPr>
                <w:rFonts w:cstheme="minorHAnsi"/>
                <w:sz w:val="16"/>
                <w:szCs w:val="16"/>
                <w:lang w:val="en-US"/>
              </w:rPr>
              <w:t>yes</w:t>
            </w:r>
          </w:p>
        </w:tc>
        <w:tc>
          <w:tcPr>
            <w:tcW w:w="412" w:type="pct"/>
          </w:tcPr>
          <w:p w14:paraId="7366CFC1"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539" w:type="pct"/>
          </w:tcPr>
          <w:p w14:paraId="4A3D1A85"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419" w:type="pct"/>
          </w:tcPr>
          <w:p w14:paraId="252F4074"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r>
      <w:tr w:rsidR="0049018D" w:rsidRPr="00524A62" w14:paraId="0F0F381F" w14:textId="77777777" w:rsidTr="00F85391">
        <w:trPr>
          <w:trHeight w:val="5"/>
        </w:trPr>
        <w:tc>
          <w:tcPr>
            <w:tcW w:w="264" w:type="pct"/>
          </w:tcPr>
          <w:p w14:paraId="40CB7D19" w14:textId="77777777" w:rsidR="0049018D" w:rsidRPr="00524A62" w:rsidRDefault="0049018D" w:rsidP="0005606D">
            <w:pPr>
              <w:rPr>
                <w:rFonts w:cstheme="minorHAnsi"/>
                <w:sz w:val="16"/>
                <w:szCs w:val="16"/>
                <w:lang w:val="en-US"/>
              </w:rPr>
            </w:pPr>
            <w:r w:rsidRPr="00524A62">
              <w:rPr>
                <w:rFonts w:cstheme="minorHAnsi"/>
                <w:sz w:val="16"/>
                <w:szCs w:val="16"/>
                <w:lang w:val="en-US"/>
              </w:rPr>
              <w:t>2002</w:t>
            </w:r>
          </w:p>
        </w:tc>
        <w:tc>
          <w:tcPr>
            <w:tcW w:w="387" w:type="pct"/>
          </w:tcPr>
          <w:p w14:paraId="598AEF6A" w14:textId="40A42A5F" w:rsidR="0049018D" w:rsidRPr="00524A62" w:rsidRDefault="0044289B" w:rsidP="0005606D">
            <w:pPr>
              <w:rPr>
                <w:rFonts w:cstheme="minorHAnsi"/>
                <w:sz w:val="16"/>
                <w:szCs w:val="16"/>
                <w:lang w:val="en-US"/>
              </w:rPr>
            </w:pPr>
            <w:r w:rsidRPr="00524A62">
              <w:rPr>
                <w:rFonts w:cstheme="minorHAnsi"/>
                <w:sz w:val="16"/>
                <w:szCs w:val="16"/>
                <w:lang w:val="en-US"/>
              </w:rPr>
              <w:t>grant</w:t>
            </w:r>
          </w:p>
        </w:tc>
        <w:tc>
          <w:tcPr>
            <w:tcW w:w="568" w:type="pct"/>
          </w:tcPr>
          <w:p w14:paraId="420F8C5A" w14:textId="77777777" w:rsidR="0049018D" w:rsidRPr="00524A62" w:rsidRDefault="0049018D" w:rsidP="0005606D">
            <w:pPr>
              <w:rPr>
                <w:rFonts w:cstheme="minorHAnsi"/>
                <w:sz w:val="16"/>
                <w:szCs w:val="16"/>
                <w:lang w:val="en-US"/>
              </w:rPr>
            </w:pPr>
            <w:r w:rsidRPr="00524A62">
              <w:rPr>
                <w:rFonts w:cstheme="minorHAnsi"/>
                <w:sz w:val="16"/>
                <w:szCs w:val="16"/>
                <w:lang w:val="en-US"/>
              </w:rPr>
              <w:t>yes</w:t>
            </w:r>
          </w:p>
        </w:tc>
        <w:tc>
          <w:tcPr>
            <w:tcW w:w="584" w:type="pct"/>
          </w:tcPr>
          <w:p w14:paraId="6988202D" w14:textId="2107652A" w:rsidR="0049018D" w:rsidRPr="00524A62" w:rsidRDefault="0049018D" w:rsidP="0005606D">
            <w:pPr>
              <w:rPr>
                <w:rFonts w:cstheme="minorHAnsi"/>
                <w:sz w:val="16"/>
                <w:szCs w:val="16"/>
                <w:lang w:val="en-US"/>
              </w:rPr>
            </w:pPr>
            <w:r w:rsidRPr="00524A62">
              <w:rPr>
                <w:rFonts w:cstheme="minorHAnsi"/>
                <w:sz w:val="16"/>
                <w:szCs w:val="16"/>
                <w:lang w:val="en-US"/>
              </w:rPr>
              <w:t xml:space="preserve">cap </w:t>
            </w:r>
            <w:r w:rsidR="00B45643" w:rsidRPr="00524A62">
              <w:rPr>
                <w:rFonts w:cstheme="minorHAnsi"/>
                <w:sz w:val="16"/>
                <w:szCs w:val="16"/>
                <w:lang w:val="en-US"/>
              </w:rPr>
              <w:t>increased</w:t>
            </w:r>
          </w:p>
        </w:tc>
        <w:tc>
          <w:tcPr>
            <w:tcW w:w="264" w:type="pct"/>
          </w:tcPr>
          <w:p w14:paraId="26474321" w14:textId="77777777" w:rsidR="0049018D" w:rsidRPr="00524A62" w:rsidRDefault="0049018D" w:rsidP="0005606D">
            <w:pPr>
              <w:rPr>
                <w:rFonts w:cstheme="minorHAnsi"/>
                <w:sz w:val="16"/>
                <w:szCs w:val="16"/>
                <w:lang w:val="en-US"/>
              </w:rPr>
            </w:pPr>
            <w:r w:rsidRPr="00524A62">
              <w:rPr>
                <w:rFonts w:cstheme="minorHAnsi"/>
                <w:sz w:val="16"/>
                <w:szCs w:val="16"/>
                <w:lang w:val="en-US"/>
              </w:rPr>
              <w:t>1000</w:t>
            </w:r>
          </w:p>
        </w:tc>
        <w:tc>
          <w:tcPr>
            <w:tcW w:w="580" w:type="pct"/>
          </w:tcPr>
          <w:p w14:paraId="16E7083B" w14:textId="77777777" w:rsidR="0049018D" w:rsidRPr="00524A62" w:rsidRDefault="0049018D" w:rsidP="0005606D">
            <w:pPr>
              <w:rPr>
                <w:rFonts w:cstheme="minorHAnsi"/>
                <w:sz w:val="16"/>
                <w:szCs w:val="16"/>
                <w:lang w:val="en-US"/>
              </w:rPr>
            </w:pPr>
            <w:r w:rsidRPr="00524A62">
              <w:rPr>
                <w:rFonts w:cstheme="minorHAnsi"/>
                <w:sz w:val="16"/>
                <w:szCs w:val="16"/>
                <w:lang w:val="en-US"/>
              </w:rPr>
              <w:t>EUR</w:t>
            </w:r>
          </w:p>
        </w:tc>
        <w:tc>
          <w:tcPr>
            <w:tcW w:w="459" w:type="pct"/>
          </w:tcPr>
          <w:p w14:paraId="38337E99" w14:textId="77777777" w:rsidR="0049018D" w:rsidRPr="00524A62" w:rsidRDefault="0049018D" w:rsidP="0005606D">
            <w:pPr>
              <w:rPr>
                <w:rFonts w:cstheme="minorHAnsi"/>
                <w:sz w:val="16"/>
                <w:szCs w:val="16"/>
                <w:lang w:val="en-US"/>
              </w:rPr>
            </w:pPr>
            <w:r w:rsidRPr="00524A62">
              <w:rPr>
                <w:rFonts w:cstheme="minorHAnsi"/>
                <w:sz w:val="16"/>
                <w:szCs w:val="16"/>
                <w:lang w:val="en-US"/>
              </w:rPr>
              <w:t>per installation</w:t>
            </w:r>
          </w:p>
        </w:tc>
        <w:tc>
          <w:tcPr>
            <w:tcW w:w="524" w:type="pct"/>
          </w:tcPr>
          <w:p w14:paraId="2A8C9225" w14:textId="77777777" w:rsidR="0049018D" w:rsidRPr="00524A62" w:rsidRDefault="0049018D" w:rsidP="0005606D">
            <w:pPr>
              <w:rPr>
                <w:rFonts w:cstheme="minorHAnsi"/>
                <w:sz w:val="16"/>
                <w:szCs w:val="16"/>
                <w:lang w:val="en-US"/>
              </w:rPr>
            </w:pPr>
            <w:r w:rsidRPr="00524A62">
              <w:rPr>
                <w:rFonts w:cstheme="minorHAnsi"/>
                <w:sz w:val="16"/>
                <w:szCs w:val="16"/>
                <w:lang w:val="en-US"/>
              </w:rPr>
              <w:t>yes</w:t>
            </w:r>
          </w:p>
        </w:tc>
        <w:tc>
          <w:tcPr>
            <w:tcW w:w="412" w:type="pct"/>
          </w:tcPr>
          <w:p w14:paraId="6DCF51C2" w14:textId="77777777" w:rsidR="0049018D" w:rsidRPr="00524A62" w:rsidRDefault="0049018D" w:rsidP="0005606D">
            <w:pPr>
              <w:rPr>
                <w:rFonts w:cstheme="minorHAnsi"/>
                <w:sz w:val="16"/>
                <w:szCs w:val="16"/>
                <w:lang w:val="en-US"/>
              </w:rPr>
            </w:pPr>
            <w:r w:rsidRPr="00524A62">
              <w:rPr>
                <w:rFonts w:cstheme="minorHAnsi"/>
                <w:sz w:val="16"/>
                <w:szCs w:val="16"/>
                <w:lang w:val="en-US"/>
              </w:rPr>
              <w:t>3000</w:t>
            </w:r>
          </w:p>
        </w:tc>
        <w:tc>
          <w:tcPr>
            <w:tcW w:w="539" w:type="pct"/>
          </w:tcPr>
          <w:p w14:paraId="458061C8" w14:textId="77777777" w:rsidR="0049018D" w:rsidRPr="00524A62" w:rsidRDefault="0049018D" w:rsidP="0005606D">
            <w:pPr>
              <w:rPr>
                <w:rFonts w:cstheme="minorHAnsi"/>
                <w:sz w:val="16"/>
                <w:szCs w:val="16"/>
                <w:lang w:val="en-US"/>
              </w:rPr>
            </w:pPr>
            <w:r w:rsidRPr="00524A62">
              <w:rPr>
                <w:rFonts w:cstheme="minorHAnsi"/>
                <w:sz w:val="16"/>
                <w:szCs w:val="16"/>
                <w:lang w:val="en-US"/>
              </w:rPr>
              <w:t>EUR</w:t>
            </w:r>
          </w:p>
        </w:tc>
        <w:tc>
          <w:tcPr>
            <w:tcW w:w="419" w:type="pct"/>
          </w:tcPr>
          <w:p w14:paraId="69341B7B" w14:textId="77777777" w:rsidR="0049018D" w:rsidRPr="00524A62" w:rsidRDefault="0049018D" w:rsidP="0005606D">
            <w:pPr>
              <w:rPr>
                <w:rFonts w:cstheme="minorHAnsi"/>
                <w:sz w:val="16"/>
                <w:szCs w:val="16"/>
                <w:lang w:val="en-US"/>
              </w:rPr>
            </w:pPr>
            <w:r w:rsidRPr="00524A62">
              <w:rPr>
                <w:rFonts w:cstheme="minorHAnsi"/>
                <w:sz w:val="16"/>
                <w:szCs w:val="16"/>
                <w:lang w:val="en-US"/>
              </w:rPr>
              <w:t>per recipient</w:t>
            </w:r>
          </w:p>
        </w:tc>
      </w:tr>
      <w:tr w:rsidR="0049018D" w:rsidRPr="00524A62" w14:paraId="13C1ABBE" w14:textId="77777777" w:rsidTr="00F85391">
        <w:trPr>
          <w:trHeight w:val="5"/>
        </w:trPr>
        <w:tc>
          <w:tcPr>
            <w:tcW w:w="264" w:type="pct"/>
          </w:tcPr>
          <w:p w14:paraId="55E8A918" w14:textId="77777777" w:rsidR="0049018D" w:rsidRPr="00524A62" w:rsidRDefault="0049018D" w:rsidP="0005606D">
            <w:pPr>
              <w:rPr>
                <w:rFonts w:cstheme="minorHAnsi"/>
                <w:sz w:val="16"/>
                <w:szCs w:val="16"/>
                <w:lang w:val="en-US"/>
              </w:rPr>
            </w:pPr>
            <w:r w:rsidRPr="00524A62">
              <w:rPr>
                <w:rFonts w:cstheme="minorHAnsi"/>
                <w:sz w:val="16"/>
                <w:szCs w:val="16"/>
                <w:lang w:val="en-US"/>
              </w:rPr>
              <w:t>2003</w:t>
            </w:r>
          </w:p>
        </w:tc>
        <w:tc>
          <w:tcPr>
            <w:tcW w:w="387" w:type="pct"/>
          </w:tcPr>
          <w:p w14:paraId="59ABE186" w14:textId="41339C5A" w:rsidR="0049018D" w:rsidRPr="00524A62" w:rsidRDefault="0044289B" w:rsidP="0005606D">
            <w:pPr>
              <w:rPr>
                <w:rFonts w:cstheme="minorHAnsi"/>
                <w:sz w:val="16"/>
                <w:szCs w:val="16"/>
                <w:lang w:val="en-US"/>
              </w:rPr>
            </w:pPr>
            <w:r w:rsidRPr="00524A62">
              <w:rPr>
                <w:rFonts w:cstheme="minorHAnsi"/>
                <w:sz w:val="16"/>
                <w:szCs w:val="16"/>
                <w:lang w:val="en-US"/>
              </w:rPr>
              <w:t>grant</w:t>
            </w:r>
          </w:p>
        </w:tc>
        <w:tc>
          <w:tcPr>
            <w:tcW w:w="568" w:type="pct"/>
          </w:tcPr>
          <w:p w14:paraId="31F7A96C" w14:textId="77777777" w:rsidR="0049018D" w:rsidRPr="00524A62" w:rsidRDefault="0049018D" w:rsidP="0005606D">
            <w:pPr>
              <w:rPr>
                <w:rFonts w:cstheme="minorHAnsi"/>
                <w:sz w:val="16"/>
                <w:szCs w:val="16"/>
                <w:lang w:val="en-US"/>
              </w:rPr>
            </w:pPr>
            <w:r w:rsidRPr="00524A62">
              <w:rPr>
                <w:rFonts w:cstheme="minorHAnsi"/>
                <w:sz w:val="16"/>
                <w:szCs w:val="16"/>
                <w:lang w:val="en-US"/>
              </w:rPr>
              <w:t>yes</w:t>
            </w:r>
          </w:p>
        </w:tc>
        <w:tc>
          <w:tcPr>
            <w:tcW w:w="584" w:type="pct"/>
          </w:tcPr>
          <w:p w14:paraId="052B629D" w14:textId="77777777" w:rsidR="0049018D" w:rsidRPr="00524A62" w:rsidRDefault="0049018D" w:rsidP="0005606D">
            <w:pPr>
              <w:rPr>
                <w:rFonts w:cstheme="minorHAnsi"/>
                <w:sz w:val="16"/>
                <w:szCs w:val="16"/>
                <w:lang w:val="en-US"/>
              </w:rPr>
            </w:pPr>
            <w:r w:rsidRPr="00524A62">
              <w:rPr>
                <w:rFonts w:cstheme="minorHAnsi"/>
                <w:sz w:val="16"/>
                <w:szCs w:val="16"/>
                <w:lang w:val="en-US"/>
              </w:rPr>
              <w:t>cap removed</w:t>
            </w:r>
          </w:p>
        </w:tc>
        <w:tc>
          <w:tcPr>
            <w:tcW w:w="264" w:type="pct"/>
          </w:tcPr>
          <w:p w14:paraId="6C72D45C" w14:textId="77777777" w:rsidR="0049018D" w:rsidRPr="00524A62" w:rsidRDefault="0049018D" w:rsidP="0005606D">
            <w:pPr>
              <w:rPr>
                <w:rFonts w:cstheme="minorHAnsi"/>
                <w:sz w:val="16"/>
                <w:szCs w:val="16"/>
                <w:lang w:val="en-US"/>
              </w:rPr>
            </w:pPr>
            <w:r w:rsidRPr="00524A62">
              <w:rPr>
                <w:rFonts w:cstheme="minorHAnsi"/>
                <w:sz w:val="16"/>
                <w:szCs w:val="16"/>
                <w:lang w:val="en-US"/>
              </w:rPr>
              <w:t>1000</w:t>
            </w:r>
          </w:p>
        </w:tc>
        <w:tc>
          <w:tcPr>
            <w:tcW w:w="580" w:type="pct"/>
          </w:tcPr>
          <w:p w14:paraId="0C49B786" w14:textId="77777777" w:rsidR="0049018D" w:rsidRPr="00524A62" w:rsidRDefault="0049018D" w:rsidP="0005606D">
            <w:pPr>
              <w:rPr>
                <w:rFonts w:cstheme="minorHAnsi"/>
                <w:sz w:val="16"/>
                <w:szCs w:val="16"/>
                <w:lang w:val="en-US"/>
              </w:rPr>
            </w:pPr>
            <w:r w:rsidRPr="00524A62">
              <w:rPr>
                <w:rFonts w:cstheme="minorHAnsi"/>
                <w:sz w:val="16"/>
                <w:szCs w:val="16"/>
                <w:lang w:val="en-US"/>
              </w:rPr>
              <w:t>EUR</w:t>
            </w:r>
          </w:p>
        </w:tc>
        <w:tc>
          <w:tcPr>
            <w:tcW w:w="459" w:type="pct"/>
          </w:tcPr>
          <w:p w14:paraId="03124AF4" w14:textId="77777777" w:rsidR="0049018D" w:rsidRPr="00524A62" w:rsidRDefault="0049018D" w:rsidP="0005606D">
            <w:pPr>
              <w:rPr>
                <w:rFonts w:cstheme="minorHAnsi"/>
                <w:sz w:val="16"/>
                <w:szCs w:val="16"/>
                <w:lang w:val="en-US"/>
              </w:rPr>
            </w:pPr>
            <w:r w:rsidRPr="00524A62">
              <w:rPr>
                <w:rFonts w:cstheme="minorHAnsi"/>
                <w:sz w:val="16"/>
                <w:szCs w:val="16"/>
                <w:lang w:val="en-US"/>
              </w:rPr>
              <w:t>per installation</w:t>
            </w:r>
          </w:p>
        </w:tc>
        <w:tc>
          <w:tcPr>
            <w:tcW w:w="524" w:type="pct"/>
          </w:tcPr>
          <w:p w14:paraId="6FD219C0" w14:textId="77777777" w:rsidR="0049018D" w:rsidRPr="00524A62" w:rsidRDefault="0049018D" w:rsidP="0005606D">
            <w:pPr>
              <w:rPr>
                <w:rFonts w:cstheme="minorHAnsi"/>
                <w:sz w:val="16"/>
                <w:szCs w:val="16"/>
                <w:lang w:val="en-US"/>
              </w:rPr>
            </w:pPr>
            <w:r w:rsidRPr="00524A62">
              <w:rPr>
                <w:rFonts w:cstheme="minorHAnsi"/>
                <w:sz w:val="16"/>
                <w:szCs w:val="16"/>
                <w:lang w:val="en-US"/>
              </w:rPr>
              <w:t xml:space="preserve">no </w:t>
            </w:r>
          </w:p>
        </w:tc>
        <w:tc>
          <w:tcPr>
            <w:tcW w:w="412" w:type="pct"/>
          </w:tcPr>
          <w:p w14:paraId="6A32D3E9"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539" w:type="pct"/>
          </w:tcPr>
          <w:p w14:paraId="3AF87779"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419" w:type="pct"/>
          </w:tcPr>
          <w:p w14:paraId="690C3106"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r>
      <w:tr w:rsidR="0049018D" w:rsidRPr="00524A62" w14:paraId="14C2BC0D" w14:textId="77777777" w:rsidTr="00F85391">
        <w:trPr>
          <w:trHeight w:val="5"/>
        </w:trPr>
        <w:tc>
          <w:tcPr>
            <w:tcW w:w="264" w:type="pct"/>
          </w:tcPr>
          <w:p w14:paraId="07E65578" w14:textId="77777777" w:rsidR="0049018D" w:rsidRPr="00524A62" w:rsidRDefault="0049018D" w:rsidP="0005606D">
            <w:pPr>
              <w:rPr>
                <w:rFonts w:cstheme="minorHAnsi"/>
                <w:sz w:val="16"/>
                <w:szCs w:val="16"/>
                <w:lang w:val="en-US"/>
              </w:rPr>
            </w:pPr>
            <w:r w:rsidRPr="00524A62">
              <w:rPr>
                <w:rFonts w:cstheme="minorHAnsi"/>
                <w:sz w:val="16"/>
                <w:szCs w:val="16"/>
                <w:lang w:val="en-US"/>
              </w:rPr>
              <w:t>2004</w:t>
            </w:r>
          </w:p>
        </w:tc>
        <w:tc>
          <w:tcPr>
            <w:tcW w:w="387" w:type="pct"/>
          </w:tcPr>
          <w:p w14:paraId="2A698DF9" w14:textId="0D9802E4" w:rsidR="0049018D" w:rsidRPr="00524A62" w:rsidRDefault="0044289B" w:rsidP="0005606D">
            <w:pPr>
              <w:rPr>
                <w:rFonts w:cstheme="minorHAnsi"/>
                <w:sz w:val="16"/>
                <w:szCs w:val="16"/>
                <w:lang w:val="en-US"/>
              </w:rPr>
            </w:pPr>
            <w:r w:rsidRPr="00524A62">
              <w:rPr>
                <w:rFonts w:cstheme="minorHAnsi"/>
                <w:sz w:val="16"/>
                <w:szCs w:val="16"/>
                <w:lang w:val="en-US"/>
              </w:rPr>
              <w:t>grant</w:t>
            </w:r>
          </w:p>
        </w:tc>
        <w:tc>
          <w:tcPr>
            <w:tcW w:w="568" w:type="pct"/>
          </w:tcPr>
          <w:p w14:paraId="2E7857D5" w14:textId="77777777" w:rsidR="0049018D" w:rsidRPr="00524A62" w:rsidRDefault="0049018D" w:rsidP="0005606D">
            <w:pPr>
              <w:rPr>
                <w:rFonts w:cstheme="minorHAnsi"/>
                <w:sz w:val="16"/>
                <w:szCs w:val="16"/>
                <w:lang w:val="en-US"/>
              </w:rPr>
            </w:pPr>
            <w:r w:rsidRPr="00524A62">
              <w:rPr>
                <w:rFonts w:cstheme="minorHAnsi"/>
                <w:sz w:val="16"/>
                <w:szCs w:val="16"/>
                <w:lang w:val="en-US"/>
              </w:rPr>
              <w:t>yes</w:t>
            </w:r>
          </w:p>
        </w:tc>
        <w:tc>
          <w:tcPr>
            <w:tcW w:w="584" w:type="pct"/>
          </w:tcPr>
          <w:p w14:paraId="59CE6011" w14:textId="77777777" w:rsidR="0049018D" w:rsidRPr="00524A62" w:rsidRDefault="0049018D" w:rsidP="0005606D">
            <w:pPr>
              <w:rPr>
                <w:rFonts w:cstheme="minorHAnsi"/>
                <w:sz w:val="16"/>
                <w:szCs w:val="16"/>
                <w:lang w:val="en-US"/>
              </w:rPr>
            </w:pPr>
            <w:r w:rsidRPr="00524A62">
              <w:rPr>
                <w:rFonts w:cstheme="minorHAnsi"/>
                <w:sz w:val="16"/>
                <w:szCs w:val="16"/>
                <w:lang w:val="en-US"/>
              </w:rPr>
              <w:t>policy cancelled</w:t>
            </w:r>
          </w:p>
        </w:tc>
        <w:tc>
          <w:tcPr>
            <w:tcW w:w="264" w:type="pct"/>
          </w:tcPr>
          <w:p w14:paraId="5D485646"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580" w:type="pct"/>
          </w:tcPr>
          <w:p w14:paraId="3B229D10"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459" w:type="pct"/>
          </w:tcPr>
          <w:p w14:paraId="39F03C4A"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524" w:type="pct"/>
          </w:tcPr>
          <w:p w14:paraId="5045B5AE"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412" w:type="pct"/>
          </w:tcPr>
          <w:p w14:paraId="1D57A30A"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539" w:type="pct"/>
          </w:tcPr>
          <w:p w14:paraId="46166D68"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c>
          <w:tcPr>
            <w:tcW w:w="419" w:type="pct"/>
          </w:tcPr>
          <w:p w14:paraId="65700027" w14:textId="77777777" w:rsidR="0049018D" w:rsidRPr="00524A62" w:rsidRDefault="0049018D" w:rsidP="0005606D">
            <w:pPr>
              <w:rPr>
                <w:rFonts w:cstheme="minorHAnsi"/>
                <w:sz w:val="16"/>
                <w:szCs w:val="16"/>
                <w:lang w:val="en-US"/>
              </w:rPr>
            </w:pPr>
            <w:r w:rsidRPr="00524A62">
              <w:rPr>
                <w:rFonts w:cstheme="minorHAnsi"/>
                <w:sz w:val="16"/>
                <w:szCs w:val="16"/>
                <w:lang w:val="en-US"/>
              </w:rPr>
              <w:t>NA</w:t>
            </w:r>
          </w:p>
        </w:tc>
      </w:tr>
    </w:tbl>
    <w:p w14:paraId="06C68E7D" w14:textId="5305791F" w:rsidR="0049018D" w:rsidRPr="00524A62" w:rsidRDefault="0049018D" w:rsidP="0049018D">
      <w:pPr>
        <w:rPr>
          <w:rFonts w:cstheme="minorHAnsi"/>
          <w:b/>
          <w:bCs/>
          <w:lang w:val="en-US"/>
        </w:rPr>
      </w:pPr>
    </w:p>
    <w:p w14:paraId="799DF629" w14:textId="77777777" w:rsidR="0049018D" w:rsidRPr="00524A62" w:rsidRDefault="0049018D" w:rsidP="00C97D70">
      <w:pPr>
        <w:pStyle w:val="Heading1"/>
        <w:spacing w:before="60"/>
        <w:rPr>
          <w:lang w:val="en-US"/>
        </w:rPr>
      </w:pPr>
      <w:bookmarkStart w:id="12" w:name="_Toc219972865"/>
      <w:r w:rsidRPr="00524A62">
        <w:rPr>
          <w:lang w:val="en-US"/>
        </w:rPr>
        <w:t>Variables common for all policy instruments</w:t>
      </w:r>
      <w:bookmarkEnd w:id="12"/>
    </w:p>
    <w:p w14:paraId="72C77D55" w14:textId="4D707E9F" w:rsidR="00033A28" w:rsidRPr="00524A62" w:rsidRDefault="00033A28" w:rsidP="000E77BE">
      <w:pPr>
        <w:pStyle w:val="Heading2"/>
        <w:rPr>
          <w:lang w:val="en-US"/>
        </w:rPr>
      </w:pPr>
      <w:bookmarkStart w:id="13" w:name="_Toc219972866"/>
      <w:r w:rsidRPr="00524A62">
        <w:rPr>
          <w:lang w:val="en-US"/>
        </w:rPr>
        <w:t>Year and Month</w:t>
      </w:r>
      <w:bookmarkEnd w:id="13"/>
    </w:p>
    <w:p w14:paraId="10DF2DD8" w14:textId="71E0604B" w:rsidR="00033A28" w:rsidRPr="00524A62" w:rsidRDefault="00033A28" w:rsidP="00033A28">
      <w:pPr>
        <w:rPr>
          <w:lang w:val="en-US"/>
        </w:rPr>
      </w:pPr>
      <w:r w:rsidRPr="00524A62">
        <w:rPr>
          <w:lang w:val="en-US"/>
        </w:rPr>
        <w:t>The year and month are for when a policy is introduced. For example, a policy that comes into force on April 1</w:t>
      </w:r>
      <w:r w:rsidRPr="00524A62">
        <w:rPr>
          <w:vertAlign w:val="superscript"/>
          <w:lang w:val="en-US"/>
        </w:rPr>
        <w:t>st</w:t>
      </w:r>
      <w:r w:rsidRPr="00524A62">
        <w:rPr>
          <w:lang w:val="en-US"/>
        </w:rPr>
        <w:t>, 2000 would be recorded as Year (2000) and month (April)</w:t>
      </w:r>
      <w:r w:rsidR="00082A69" w:rsidRPr="00524A62">
        <w:rPr>
          <w:lang w:val="en-US"/>
        </w:rPr>
        <w:t>.</w:t>
      </w:r>
    </w:p>
    <w:p w14:paraId="6D527F01" w14:textId="3ECF783E" w:rsidR="00033A28" w:rsidRPr="00524A62" w:rsidRDefault="00033A28" w:rsidP="00033A28">
      <w:pPr>
        <w:rPr>
          <w:lang w:val="en-US"/>
        </w:rPr>
      </w:pPr>
      <w:r w:rsidRPr="00524A62">
        <w:rPr>
          <w:lang w:val="en-US"/>
        </w:rPr>
        <w:t xml:space="preserve">In some cases, a policy may also have retrospective impacts: for example, a law is published in January 2020 which affects how businesses can report their 2019 taxes. We would still record this as (2020, January) and then in the notes add the information that this also applies retrospectively. </w:t>
      </w:r>
    </w:p>
    <w:p w14:paraId="3844C056" w14:textId="4428793E" w:rsidR="00021A11" w:rsidRPr="00524A62" w:rsidRDefault="00021A11" w:rsidP="00033A28">
      <w:pPr>
        <w:rPr>
          <w:lang w:val="en-US"/>
        </w:rPr>
      </w:pPr>
      <w:r w:rsidRPr="00524A62">
        <w:rPr>
          <w:b/>
          <w:bCs/>
          <w:lang w:val="en-US"/>
        </w:rPr>
        <w:t xml:space="preserve">NOTE: </w:t>
      </w:r>
      <w:r w:rsidRPr="00524A62">
        <w:rPr>
          <w:lang w:val="en-US"/>
        </w:rPr>
        <w:t xml:space="preserve">for tenders, we also record the date when possible. </w:t>
      </w:r>
    </w:p>
    <w:p w14:paraId="05CBE103" w14:textId="5120CF8F" w:rsidR="0049018D" w:rsidRPr="00524A62" w:rsidRDefault="0049018D" w:rsidP="000E77BE">
      <w:pPr>
        <w:pStyle w:val="Heading2"/>
        <w:rPr>
          <w:lang w:val="en-US"/>
        </w:rPr>
      </w:pPr>
      <w:bookmarkStart w:id="14" w:name="_Toc219972867"/>
      <w:r w:rsidRPr="00524A62">
        <w:rPr>
          <w:lang w:val="en-US"/>
        </w:rPr>
        <w:t>Affected technologies</w:t>
      </w:r>
      <w:bookmarkEnd w:id="14"/>
    </w:p>
    <w:p w14:paraId="7983E3CA" w14:textId="2A406AF2" w:rsidR="0049018D" w:rsidRPr="00524A62" w:rsidRDefault="0049018D" w:rsidP="0049018D">
      <w:pPr>
        <w:rPr>
          <w:rFonts w:cstheme="minorHAnsi"/>
          <w:lang w:val="en-US"/>
        </w:rPr>
      </w:pPr>
      <w:r w:rsidRPr="00524A62">
        <w:rPr>
          <w:rFonts w:cstheme="minorHAnsi"/>
          <w:lang w:val="en-US"/>
        </w:rPr>
        <w:t>For each policy instrument, we describe what kind of technology is impacted (</w:t>
      </w:r>
      <w:r w:rsidR="00A21A6A" w:rsidRPr="00524A62">
        <w:rPr>
          <w:rFonts w:cstheme="minorHAnsi"/>
          <w:lang w:val="en-US"/>
        </w:rPr>
        <w:t>technology_</w:t>
      </w:r>
      <w:r w:rsidRPr="00524A62">
        <w:rPr>
          <w:rFonts w:cstheme="minorHAnsi"/>
          <w:lang w:val="en-US"/>
        </w:rPr>
        <w:t xml:space="preserve">type). When information is available, we distinguish between </w:t>
      </w:r>
      <w:r w:rsidRPr="00524A62">
        <w:rPr>
          <w:rFonts w:eastAsia="Times New Roman" w:cstheme="minorHAnsi"/>
          <w:color w:val="000000"/>
          <w:lang w:val="en-US" w:eastAsia="en-IN"/>
        </w:rPr>
        <w:t>specific technologies: for example, PV can be recorded as PV rooftop or PV field. If the policy applies to technologies more generally (such as any PV installation), or if there are no further details available, it is recorded as PV.</w:t>
      </w:r>
      <w:r w:rsidRPr="00524A62">
        <w:rPr>
          <w:rFonts w:cstheme="minorHAnsi"/>
          <w:lang w:val="en-US"/>
        </w:rPr>
        <w:t xml:space="preserve"> The possible entries for renewable energy are listed in </w:t>
      </w:r>
      <w:r w:rsidRPr="00524A62">
        <w:rPr>
          <w:rFonts w:cstheme="minorHAnsi"/>
          <w:lang w:val="en-US"/>
        </w:rPr>
        <w:fldChar w:fldCharType="begin"/>
      </w:r>
      <w:r w:rsidRPr="00524A62">
        <w:rPr>
          <w:rFonts w:cstheme="minorHAnsi"/>
          <w:lang w:val="en-US"/>
        </w:rPr>
        <w:instrText xml:space="preserve"> REF _Ref191460791 \h </w:instrText>
      </w:r>
      <w:r w:rsidRPr="00524A62">
        <w:rPr>
          <w:rFonts w:cstheme="minorHAnsi"/>
          <w:lang w:val="en-US"/>
        </w:rPr>
      </w:r>
      <w:r w:rsidRPr="00524A62">
        <w:rPr>
          <w:rFonts w:cstheme="minorHAnsi"/>
          <w:lang w:val="en-US"/>
        </w:rPr>
        <w:fldChar w:fldCharType="separate"/>
      </w:r>
      <w:r w:rsidRPr="00524A62">
        <w:rPr>
          <w:lang w:val="en-US"/>
        </w:rPr>
        <w:t xml:space="preserve">Table </w:t>
      </w:r>
      <w:r w:rsidRPr="00524A62">
        <w:rPr>
          <w:noProof/>
          <w:lang w:val="en-US"/>
        </w:rPr>
        <w:t>3</w:t>
      </w:r>
      <w:r w:rsidRPr="00524A62">
        <w:rPr>
          <w:rFonts w:cstheme="minorHAnsi"/>
          <w:lang w:val="en-US"/>
        </w:rPr>
        <w:fldChar w:fldCharType="end"/>
      </w:r>
      <w:r w:rsidRPr="00524A62">
        <w:rPr>
          <w:rFonts w:cstheme="minorHAnsi"/>
          <w:lang w:val="en-US"/>
        </w:rPr>
        <w:t>.</w:t>
      </w:r>
    </w:p>
    <w:p w14:paraId="53C6A2F5" w14:textId="18E37E58" w:rsidR="0049018D" w:rsidRPr="00524A62" w:rsidRDefault="00EF5D8A" w:rsidP="0049018D">
      <w:pPr>
        <w:pStyle w:val="Caption"/>
        <w:rPr>
          <w:rFonts w:cstheme="minorHAnsi"/>
          <w:lang w:val="en-US"/>
        </w:rPr>
      </w:pPr>
      <w:bookmarkStart w:id="15" w:name="_Ref191460791"/>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5</w:t>
      </w:r>
      <w:r w:rsidRPr="00551268">
        <w:rPr>
          <w:noProof/>
          <w:lang w:val="en-US"/>
        </w:rPr>
        <w:fldChar w:fldCharType="end"/>
      </w:r>
      <w:bookmarkEnd w:id="15"/>
      <w:r w:rsidRPr="00551268">
        <w:rPr>
          <w:lang w:val="en-US"/>
        </w:rPr>
        <w:t>: List of technologies in the policy dataset</w:t>
      </w:r>
    </w:p>
    <w:tbl>
      <w:tblPr>
        <w:tblStyle w:val="TableGrid"/>
        <w:tblW w:w="0" w:type="auto"/>
        <w:tblLook w:val="04A0" w:firstRow="1" w:lastRow="0" w:firstColumn="1" w:lastColumn="0" w:noHBand="0" w:noVBand="1"/>
      </w:tblPr>
      <w:tblGrid>
        <w:gridCol w:w="1885"/>
        <w:gridCol w:w="7111"/>
      </w:tblGrid>
      <w:tr w:rsidR="0049018D" w:rsidRPr="00524A62" w14:paraId="3A595F13" w14:textId="77777777" w:rsidTr="0005606D">
        <w:trPr>
          <w:trHeight w:val="138"/>
        </w:trPr>
        <w:tc>
          <w:tcPr>
            <w:tcW w:w="1885" w:type="dxa"/>
          </w:tcPr>
          <w:p w14:paraId="06668479" w14:textId="13059040" w:rsidR="0049018D" w:rsidRPr="00524A62" w:rsidRDefault="00A21A6A" w:rsidP="0005606D">
            <w:pPr>
              <w:rPr>
                <w:rFonts w:cstheme="minorHAnsi"/>
                <w:b/>
                <w:bCs/>
                <w:lang w:val="en-US"/>
              </w:rPr>
            </w:pPr>
            <w:r w:rsidRPr="00524A62">
              <w:rPr>
                <w:rFonts w:cstheme="minorHAnsi"/>
                <w:b/>
                <w:bCs/>
                <w:lang w:val="en-US"/>
              </w:rPr>
              <w:t>technology_</w:t>
            </w:r>
            <w:r w:rsidR="0049018D" w:rsidRPr="00524A62">
              <w:rPr>
                <w:rFonts w:cstheme="minorHAnsi"/>
                <w:b/>
                <w:bCs/>
                <w:lang w:val="en-US"/>
              </w:rPr>
              <w:t>type</w:t>
            </w:r>
          </w:p>
        </w:tc>
        <w:tc>
          <w:tcPr>
            <w:tcW w:w="7111" w:type="dxa"/>
          </w:tcPr>
          <w:p w14:paraId="25F4C5EA" w14:textId="77777777" w:rsidR="0049018D" w:rsidRPr="00524A62" w:rsidRDefault="0049018D" w:rsidP="0005606D">
            <w:pPr>
              <w:rPr>
                <w:rFonts w:cstheme="minorHAnsi"/>
                <w:b/>
                <w:bCs/>
                <w:lang w:val="en-US"/>
              </w:rPr>
            </w:pPr>
            <w:r w:rsidRPr="00524A62">
              <w:rPr>
                <w:rFonts w:cstheme="minorHAnsi"/>
                <w:b/>
                <w:bCs/>
                <w:lang w:val="en-US"/>
              </w:rPr>
              <w:t>Definition</w:t>
            </w:r>
          </w:p>
        </w:tc>
      </w:tr>
      <w:tr w:rsidR="0049018D" w:rsidRPr="008D4356" w14:paraId="3010E0FA" w14:textId="77777777" w:rsidTr="0005606D">
        <w:trPr>
          <w:trHeight w:val="138"/>
        </w:trPr>
        <w:tc>
          <w:tcPr>
            <w:tcW w:w="1885" w:type="dxa"/>
          </w:tcPr>
          <w:p w14:paraId="11A1372B" w14:textId="77777777" w:rsidR="0049018D" w:rsidRPr="00524A62" w:rsidRDefault="0049018D" w:rsidP="0005606D">
            <w:pPr>
              <w:rPr>
                <w:rFonts w:cstheme="minorHAnsi"/>
                <w:b/>
                <w:bCs/>
                <w:lang w:val="en-US"/>
              </w:rPr>
            </w:pPr>
            <w:r w:rsidRPr="00524A62">
              <w:rPr>
                <w:rFonts w:cstheme="minorHAnsi"/>
                <w:lang w:val="en-US"/>
              </w:rPr>
              <w:t>Bioenergy</w:t>
            </w:r>
          </w:p>
        </w:tc>
        <w:tc>
          <w:tcPr>
            <w:tcW w:w="7111" w:type="dxa"/>
          </w:tcPr>
          <w:p w14:paraId="70CE293C" w14:textId="77777777" w:rsidR="0049018D" w:rsidRPr="00524A62" w:rsidRDefault="0049018D" w:rsidP="0005606D">
            <w:pPr>
              <w:rPr>
                <w:rFonts w:cstheme="minorHAnsi"/>
                <w:lang w:val="en-US"/>
              </w:rPr>
            </w:pPr>
            <w:r w:rsidRPr="00524A62">
              <w:rPr>
                <w:rFonts w:cstheme="minorHAnsi"/>
                <w:lang w:val="en-US"/>
              </w:rPr>
              <w:t>Energy derived from biomass: biological material derived from (recently) living organisms such as wood, crops, wastes and residues.</w:t>
            </w:r>
            <w:r w:rsidRPr="00524A62">
              <w:rPr>
                <w:rStyle w:val="FootnoteReference"/>
                <w:rFonts w:cstheme="minorHAnsi"/>
                <w:lang w:val="en-US"/>
              </w:rPr>
              <w:footnoteReference w:id="2"/>
            </w:r>
            <w:r w:rsidRPr="00524A62">
              <w:rPr>
                <w:rFonts w:cstheme="minorHAnsi"/>
                <w:lang w:val="en-US"/>
              </w:rPr>
              <w:t xml:space="preserve"> Because our focus is on electricity generation, the majority of these projects are biomass rather than other forms of bioenergy such as biogas. </w:t>
            </w:r>
          </w:p>
        </w:tc>
      </w:tr>
      <w:tr w:rsidR="0049018D" w:rsidRPr="008D4356" w14:paraId="37CD3520" w14:textId="77777777" w:rsidTr="0005606D">
        <w:trPr>
          <w:trHeight w:val="138"/>
        </w:trPr>
        <w:tc>
          <w:tcPr>
            <w:tcW w:w="1885" w:type="dxa"/>
          </w:tcPr>
          <w:p w14:paraId="1293AC2B" w14:textId="77777777" w:rsidR="0049018D" w:rsidRPr="00524A62" w:rsidRDefault="0049018D" w:rsidP="0005606D">
            <w:pPr>
              <w:rPr>
                <w:rFonts w:cstheme="minorHAnsi"/>
                <w:lang w:val="en-US"/>
              </w:rPr>
            </w:pPr>
            <w:r w:rsidRPr="00524A62">
              <w:rPr>
                <w:rFonts w:cstheme="minorHAnsi"/>
                <w:lang w:val="en-US"/>
              </w:rPr>
              <w:t>CSP</w:t>
            </w:r>
          </w:p>
        </w:tc>
        <w:tc>
          <w:tcPr>
            <w:tcW w:w="7111" w:type="dxa"/>
          </w:tcPr>
          <w:p w14:paraId="46409CD3" w14:textId="77777777" w:rsidR="0049018D" w:rsidRPr="00524A62" w:rsidRDefault="0049018D" w:rsidP="0005606D">
            <w:pPr>
              <w:rPr>
                <w:rFonts w:cstheme="minorHAnsi"/>
                <w:lang w:val="en-US"/>
              </w:rPr>
            </w:pPr>
            <w:r w:rsidRPr="00524A62">
              <w:rPr>
                <w:rFonts w:cstheme="minorHAnsi"/>
                <w:lang w:val="en-US"/>
              </w:rPr>
              <w:t>Concentrated solar power, or solar thermal power</w:t>
            </w:r>
          </w:p>
        </w:tc>
      </w:tr>
      <w:tr w:rsidR="0049018D" w:rsidRPr="008D4356" w14:paraId="09B8EF14" w14:textId="77777777" w:rsidTr="0005606D">
        <w:trPr>
          <w:trHeight w:val="138"/>
        </w:trPr>
        <w:tc>
          <w:tcPr>
            <w:tcW w:w="1885" w:type="dxa"/>
          </w:tcPr>
          <w:p w14:paraId="567BEABC" w14:textId="77777777" w:rsidR="0049018D" w:rsidRPr="00524A62" w:rsidRDefault="0049018D" w:rsidP="0005606D">
            <w:pPr>
              <w:rPr>
                <w:rFonts w:cstheme="minorHAnsi"/>
                <w:lang w:val="en-US"/>
              </w:rPr>
            </w:pPr>
            <w:r w:rsidRPr="00524A62">
              <w:rPr>
                <w:rFonts w:cstheme="minorHAnsi"/>
                <w:lang w:val="en-US"/>
              </w:rPr>
              <w:t>Wind</w:t>
            </w:r>
          </w:p>
        </w:tc>
        <w:tc>
          <w:tcPr>
            <w:tcW w:w="7111" w:type="dxa"/>
          </w:tcPr>
          <w:p w14:paraId="6AE90D87" w14:textId="77777777" w:rsidR="0049018D" w:rsidRPr="00524A62" w:rsidRDefault="0049018D" w:rsidP="0005606D">
            <w:pPr>
              <w:rPr>
                <w:rFonts w:cstheme="minorHAnsi"/>
                <w:lang w:val="en-US"/>
              </w:rPr>
            </w:pPr>
            <w:r w:rsidRPr="00524A62">
              <w:rPr>
                <w:rFonts w:cstheme="minorHAnsi"/>
                <w:lang w:val="en-US"/>
              </w:rPr>
              <w:t>Power derived from wind (may include onshore and offshore)</w:t>
            </w:r>
          </w:p>
        </w:tc>
      </w:tr>
      <w:tr w:rsidR="0049018D" w:rsidRPr="008D4356" w14:paraId="42836E9F" w14:textId="77777777" w:rsidTr="0005606D">
        <w:trPr>
          <w:trHeight w:val="143"/>
        </w:trPr>
        <w:tc>
          <w:tcPr>
            <w:tcW w:w="1885" w:type="dxa"/>
          </w:tcPr>
          <w:p w14:paraId="16B88FA2" w14:textId="77777777" w:rsidR="0049018D" w:rsidRPr="00524A62" w:rsidRDefault="0049018D" w:rsidP="0005606D">
            <w:pPr>
              <w:rPr>
                <w:rFonts w:cstheme="minorHAnsi"/>
                <w:lang w:val="en-US"/>
              </w:rPr>
            </w:pPr>
            <w:r w:rsidRPr="00524A62">
              <w:rPr>
                <w:rFonts w:cstheme="minorHAnsi"/>
                <w:lang w:val="en-US"/>
              </w:rPr>
              <w:t>Onshore wind</w:t>
            </w:r>
          </w:p>
        </w:tc>
        <w:tc>
          <w:tcPr>
            <w:tcW w:w="7111" w:type="dxa"/>
          </w:tcPr>
          <w:p w14:paraId="416B0AA0" w14:textId="77777777" w:rsidR="0049018D" w:rsidRPr="00524A62" w:rsidRDefault="0049018D" w:rsidP="0005606D">
            <w:pPr>
              <w:rPr>
                <w:rFonts w:cstheme="minorHAnsi"/>
                <w:lang w:val="en-US"/>
              </w:rPr>
            </w:pPr>
            <w:r w:rsidRPr="00524A62">
              <w:rPr>
                <w:rFonts w:cstheme="minorHAnsi"/>
                <w:lang w:val="en-US"/>
              </w:rPr>
              <w:t>Power derived from onshore wind only</w:t>
            </w:r>
          </w:p>
        </w:tc>
      </w:tr>
      <w:tr w:rsidR="0049018D" w:rsidRPr="008D4356" w14:paraId="6245CD8D" w14:textId="77777777" w:rsidTr="0005606D">
        <w:trPr>
          <w:trHeight w:val="138"/>
        </w:trPr>
        <w:tc>
          <w:tcPr>
            <w:tcW w:w="1885" w:type="dxa"/>
          </w:tcPr>
          <w:p w14:paraId="4737A313" w14:textId="77777777" w:rsidR="0049018D" w:rsidRPr="00524A62" w:rsidRDefault="0049018D" w:rsidP="0005606D">
            <w:pPr>
              <w:rPr>
                <w:rFonts w:cstheme="minorHAnsi"/>
                <w:lang w:val="en-US"/>
              </w:rPr>
            </w:pPr>
            <w:r w:rsidRPr="00524A62">
              <w:rPr>
                <w:rFonts w:cstheme="minorHAnsi"/>
                <w:lang w:val="en-US"/>
              </w:rPr>
              <w:t>Offshore wind</w:t>
            </w:r>
          </w:p>
        </w:tc>
        <w:tc>
          <w:tcPr>
            <w:tcW w:w="7111" w:type="dxa"/>
          </w:tcPr>
          <w:p w14:paraId="3C77FD86" w14:textId="77777777" w:rsidR="0049018D" w:rsidRPr="00524A62" w:rsidRDefault="0049018D" w:rsidP="0005606D">
            <w:pPr>
              <w:rPr>
                <w:rFonts w:cstheme="minorHAnsi"/>
                <w:lang w:val="en-US"/>
              </w:rPr>
            </w:pPr>
            <w:r w:rsidRPr="00524A62">
              <w:rPr>
                <w:rFonts w:cstheme="minorHAnsi"/>
                <w:lang w:val="en-US"/>
              </w:rPr>
              <w:t>Power derived from offshore wind only</w:t>
            </w:r>
          </w:p>
        </w:tc>
      </w:tr>
      <w:tr w:rsidR="0049018D" w:rsidRPr="008D4356" w14:paraId="79E3AE3A" w14:textId="77777777" w:rsidTr="0005606D">
        <w:trPr>
          <w:trHeight w:val="143"/>
        </w:trPr>
        <w:tc>
          <w:tcPr>
            <w:tcW w:w="1885" w:type="dxa"/>
          </w:tcPr>
          <w:p w14:paraId="2AEB8C31" w14:textId="77777777" w:rsidR="0049018D" w:rsidRPr="00524A62" w:rsidRDefault="0049018D" w:rsidP="0005606D">
            <w:pPr>
              <w:rPr>
                <w:rFonts w:cstheme="minorHAnsi"/>
                <w:lang w:val="en-US"/>
              </w:rPr>
            </w:pPr>
            <w:r w:rsidRPr="00524A62">
              <w:rPr>
                <w:rFonts w:cstheme="minorHAnsi"/>
                <w:lang w:val="en-US"/>
              </w:rPr>
              <w:t>PV</w:t>
            </w:r>
          </w:p>
        </w:tc>
        <w:tc>
          <w:tcPr>
            <w:tcW w:w="7111" w:type="dxa"/>
          </w:tcPr>
          <w:p w14:paraId="296DF1D8" w14:textId="77777777" w:rsidR="0049018D" w:rsidRPr="00524A62" w:rsidRDefault="0049018D" w:rsidP="0005606D">
            <w:pPr>
              <w:rPr>
                <w:rFonts w:cstheme="minorHAnsi"/>
                <w:lang w:val="en-US"/>
              </w:rPr>
            </w:pPr>
            <w:r w:rsidRPr="00524A62">
              <w:rPr>
                <w:rFonts w:cstheme="minorHAnsi"/>
                <w:lang w:val="en-US"/>
              </w:rPr>
              <w:t>Solar photovoltaic power (may include different types and technologies)</w:t>
            </w:r>
          </w:p>
        </w:tc>
      </w:tr>
      <w:tr w:rsidR="0049018D" w:rsidRPr="008D4356" w14:paraId="06180F70" w14:textId="77777777" w:rsidTr="0005606D">
        <w:trPr>
          <w:trHeight w:val="138"/>
        </w:trPr>
        <w:tc>
          <w:tcPr>
            <w:tcW w:w="1885" w:type="dxa"/>
          </w:tcPr>
          <w:p w14:paraId="2E9FE134" w14:textId="77777777" w:rsidR="0049018D" w:rsidRPr="00524A62" w:rsidRDefault="0049018D" w:rsidP="0005606D">
            <w:pPr>
              <w:rPr>
                <w:rFonts w:cstheme="minorHAnsi"/>
                <w:lang w:val="en-US"/>
              </w:rPr>
            </w:pPr>
            <w:r w:rsidRPr="00524A62">
              <w:rPr>
                <w:rFonts w:cstheme="minorHAnsi"/>
                <w:lang w:val="en-US"/>
              </w:rPr>
              <w:t>PV rooftop</w:t>
            </w:r>
          </w:p>
        </w:tc>
        <w:tc>
          <w:tcPr>
            <w:tcW w:w="7111" w:type="dxa"/>
          </w:tcPr>
          <w:p w14:paraId="468F64BA" w14:textId="77777777" w:rsidR="0049018D" w:rsidRPr="00524A62" w:rsidRDefault="0049018D" w:rsidP="0005606D">
            <w:pPr>
              <w:rPr>
                <w:rFonts w:cstheme="minorHAnsi"/>
                <w:lang w:val="en-US"/>
              </w:rPr>
            </w:pPr>
            <w:r w:rsidRPr="00524A62">
              <w:rPr>
                <w:rFonts w:cstheme="minorHAnsi"/>
                <w:lang w:val="en-US"/>
              </w:rPr>
              <w:t>Solar PV installed on rooftops (may be residential or not)</w:t>
            </w:r>
          </w:p>
        </w:tc>
      </w:tr>
      <w:tr w:rsidR="0049018D" w:rsidRPr="008D4356" w14:paraId="11B6FC21" w14:textId="77777777" w:rsidTr="0005606D">
        <w:trPr>
          <w:trHeight w:val="138"/>
        </w:trPr>
        <w:tc>
          <w:tcPr>
            <w:tcW w:w="1885" w:type="dxa"/>
          </w:tcPr>
          <w:p w14:paraId="6414E353" w14:textId="77777777" w:rsidR="0049018D" w:rsidRPr="00524A62" w:rsidRDefault="0049018D" w:rsidP="0005606D">
            <w:pPr>
              <w:rPr>
                <w:rFonts w:cstheme="minorHAnsi"/>
                <w:lang w:val="en-US"/>
              </w:rPr>
            </w:pPr>
            <w:r w:rsidRPr="00524A62">
              <w:rPr>
                <w:rFonts w:cstheme="minorHAnsi"/>
                <w:lang w:val="en-US"/>
              </w:rPr>
              <w:lastRenderedPageBreak/>
              <w:t>PV field</w:t>
            </w:r>
          </w:p>
        </w:tc>
        <w:tc>
          <w:tcPr>
            <w:tcW w:w="7111" w:type="dxa"/>
          </w:tcPr>
          <w:p w14:paraId="1061C45E" w14:textId="1018EF72" w:rsidR="0049018D" w:rsidRPr="00524A62" w:rsidRDefault="0049018D" w:rsidP="0005606D">
            <w:pPr>
              <w:rPr>
                <w:rFonts w:cstheme="minorHAnsi"/>
                <w:lang w:val="en-US"/>
              </w:rPr>
            </w:pPr>
            <w:r w:rsidRPr="00524A62">
              <w:rPr>
                <w:rFonts w:cstheme="minorHAnsi"/>
                <w:lang w:val="en-US"/>
              </w:rPr>
              <w:t>Solar PV installed on land (</w:t>
            </w:r>
            <w:r w:rsidR="005A02AB" w:rsidRPr="00524A62">
              <w:rPr>
                <w:rFonts w:cstheme="minorHAnsi"/>
                <w:lang w:val="en-US"/>
              </w:rPr>
              <w:t>i.e.,</w:t>
            </w:r>
            <w:r w:rsidRPr="00524A62">
              <w:rPr>
                <w:rFonts w:cstheme="minorHAnsi"/>
                <w:lang w:val="en-US"/>
              </w:rPr>
              <w:t xml:space="preserve"> larger solar park/farm)</w:t>
            </w:r>
          </w:p>
        </w:tc>
      </w:tr>
      <w:tr w:rsidR="0049018D" w:rsidRPr="008D4356" w14:paraId="6DCEEBAB" w14:textId="77777777" w:rsidTr="0005606D">
        <w:trPr>
          <w:trHeight w:val="138"/>
        </w:trPr>
        <w:tc>
          <w:tcPr>
            <w:tcW w:w="1885" w:type="dxa"/>
          </w:tcPr>
          <w:p w14:paraId="33F33762" w14:textId="77777777" w:rsidR="0049018D" w:rsidRPr="00524A62" w:rsidRDefault="0049018D" w:rsidP="0005606D">
            <w:pPr>
              <w:rPr>
                <w:rFonts w:cstheme="minorHAnsi"/>
                <w:lang w:val="en-US"/>
              </w:rPr>
            </w:pPr>
            <w:r w:rsidRPr="00524A62">
              <w:rPr>
                <w:rFonts w:cstheme="minorHAnsi"/>
                <w:lang w:val="en-US"/>
              </w:rPr>
              <w:t>All renewables</w:t>
            </w:r>
          </w:p>
        </w:tc>
        <w:tc>
          <w:tcPr>
            <w:tcW w:w="7111" w:type="dxa"/>
          </w:tcPr>
          <w:p w14:paraId="14A089B0" w14:textId="77777777" w:rsidR="0049018D" w:rsidRPr="00524A62" w:rsidRDefault="0049018D" w:rsidP="0005606D">
            <w:pPr>
              <w:rPr>
                <w:rFonts w:cstheme="minorHAnsi"/>
                <w:lang w:val="en-US"/>
              </w:rPr>
            </w:pPr>
            <w:r w:rsidRPr="00524A62">
              <w:rPr>
                <w:rFonts w:cstheme="minorHAnsi"/>
                <w:lang w:val="en-US"/>
              </w:rPr>
              <w:t>All renewables (as defined by the source) are eligible, including technologies for which we do not gather data</w:t>
            </w:r>
          </w:p>
        </w:tc>
      </w:tr>
      <w:tr w:rsidR="0049018D" w:rsidRPr="008D4356" w14:paraId="3B47A9A7" w14:textId="77777777" w:rsidTr="0005606D">
        <w:trPr>
          <w:trHeight w:val="138"/>
        </w:trPr>
        <w:tc>
          <w:tcPr>
            <w:tcW w:w="1885" w:type="dxa"/>
          </w:tcPr>
          <w:p w14:paraId="3633EAF2" w14:textId="77777777" w:rsidR="0049018D" w:rsidRPr="00524A62" w:rsidRDefault="0049018D" w:rsidP="0005606D">
            <w:pPr>
              <w:rPr>
                <w:rFonts w:cstheme="minorHAnsi"/>
                <w:lang w:val="en-US"/>
              </w:rPr>
            </w:pPr>
            <w:r w:rsidRPr="00524A62">
              <w:rPr>
                <w:rFonts w:cstheme="minorHAnsi"/>
                <w:lang w:val="en-US"/>
              </w:rPr>
              <w:t>Multiple renewables</w:t>
            </w:r>
          </w:p>
        </w:tc>
        <w:tc>
          <w:tcPr>
            <w:tcW w:w="7111" w:type="dxa"/>
          </w:tcPr>
          <w:p w14:paraId="00C90814" w14:textId="3E4A27F4" w:rsidR="0049018D" w:rsidRPr="00524A62" w:rsidRDefault="0049018D" w:rsidP="0005606D">
            <w:pPr>
              <w:rPr>
                <w:rFonts w:cstheme="minorHAnsi"/>
                <w:lang w:val="en-US"/>
              </w:rPr>
            </w:pPr>
            <w:r w:rsidRPr="00524A62">
              <w:rPr>
                <w:rFonts w:cstheme="minorHAnsi"/>
                <w:lang w:val="en-US"/>
              </w:rPr>
              <w:t xml:space="preserve">More than one of the above technologies is supported, but it is not possible to differentiate how support is divided between technologies. Further information on which technologies are included available in the column </w:t>
            </w:r>
            <w:r w:rsidR="00A21A6A" w:rsidRPr="00524A62">
              <w:rPr>
                <w:rFonts w:cstheme="minorHAnsi"/>
                <w:lang w:val="en-US"/>
              </w:rPr>
              <w:t>technology_</w:t>
            </w:r>
            <w:r w:rsidRPr="00524A62">
              <w:rPr>
                <w:rFonts w:cstheme="minorHAnsi"/>
                <w:lang w:val="en-US"/>
              </w:rPr>
              <w:t>type_multiple.</w:t>
            </w:r>
          </w:p>
        </w:tc>
      </w:tr>
    </w:tbl>
    <w:p w14:paraId="474442F6" w14:textId="77777777" w:rsidR="0049018D" w:rsidRPr="00524A62" w:rsidRDefault="0049018D" w:rsidP="0049018D">
      <w:pPr>
        <w:rPr>
          <w:rFonts w:eastAsia="Times New Roman" w:cstheme="minorHAnsi"/>
          <w:color w:val="000000"/>
          <w:lang w:val="en-US" w:eastAsia="en-IN"/>
        </w:rPr>
      </w:pPr>
    </w:p>
    <w:p w14:paraId="20C9ADC3" w14:textId="4DD01736" w:rsidR="0049018D" w:rsidRPr="00524A62" w:rsidRDefault="0049018D" w:rsidP="0049018D">
      <w:pPr>
        <w:rPr>
          <w:rFonts w:cstheme="minorHAnsi"/>
          <w:lang w:val="en-US"/>
        </w:rPr>
      </w:pPr>
      <w:r w:rsidRPr="00524A62">
        <w:rPr>
          <w:rFonts w:eastAsia="Times New Roman" w:cstheme="minorHAnsi"/>
          <w:color w:val="000000"/>
          <w:lang w:val="en-US" w:eastAsia="en-IN"/>
        </w:rPr>
        <w:t xml:space="preserve">If a policy applies to all renewable </w:t>
      </w:r>
      <w:r w:rsidRPr="00524A62">
        <w:rPr>
          <w:rFonts w:cstheme="minorHAnsi"/>
          <w:lang w:val="en-US"/>
        </w:rPr>
        <w:t>power technologies, including technologies not included in our list because they are not in focus of renewables support in most countries (</w:t>
      </w:r>
      <w:r w:rsidR="005A02AB" w:rsidRPr="00524A62">
        <w:rPr>
          <w:rFonts w:cstheme="minorHAnsi"/>
          <w:lang w:val="en-US"/>
        </w:rPr>
        <w:t>e.g.,</w:t>
      </w:r>
      <w:r w:rsidRPr="00524A62">
        <w:rPr>
          <w:rFonts w:cstheme="minorHAnsi"/>
          <w:lang w:val="en-US"/>
        </w:rPr>
        <w:t xml:space="preserve"> geothermal or wave power), this is indicated by “all renewables” in the technology row. Note that we follow the definition of each source, typically country-specific regulations, as to what is “renewable”. The technologies in </w:t>
      </w:r>
      <w:r w:rsidRPr="00524A62">
        <w:rPr>
          <w:rFonts w:cstheme="minorHAnsi"/>
          <w:lang w:val="en-US"/>
        </w:rPr>
        <w:fldChar w:fldCharType="begin"/>
      </w:r>
      <w:r w:rsidRPr="00524A62">
        <w:rPr>
          <w:rFonts w:cstheme="minorHAnsi"/>
          <w:lang w:val="en-US"/>
        </w:rPr>
        <w:instrText xml:space="preserve"> REF _Ref191460791 \h </w:instrText>
      </w:r>
      <w:r w:rsidRPr="00524A62">
        <w:rPr>
          <w:rFonts w:cstheme="minorHAnsi"/>
          <w:lang w:val="en-US"/>
        </w:rPr>
      </w:r>
      <w:r w:rsidRPr="00524A62">
        <w:rPr>
          <w:rFonts w:cstheme="minorHAnsi"/>
          <w:lang w:val="en-US"/>
        </w:rPr>
        <w:fldChar w:fldCharType="separate"/>
      </w:r>
      <w:r w:rsidRPr="00524A62">
        <w:rPr>
          <w:lang w:val="en-US"/>
        </w:rPr>
        <w:t xml:space="preserve">Table </w:t>
      </w:r>
      <w:r w:rsidRPr="00524A62">
        <w:rPr>
          <w:noProof/>
          <w:lang w:val="en-US"/>
        </w:rPr>
        <w:t>3</w:t>
      </w:r>
      <w:r w:rsidRPr="00524A62">
        <w:rPr>
          <w:rFonts w:cstheme="minorHAnsi"/>
          <w:lang w:val="en-US"/>
        </w:rPr>
        <w:fldChar w:fldCharType="end"/>
      </w:r>
      <w:r w:rsidRPr="00524A62">
        <w:rPr>
          <w:rFonts w:cstheme="minorHAnsi"/>
          <w:lang w:val="en-US"/>
        </w:rPr>
        <w:t xml:space="preserve"> are always considered renewable technologies.</w:t>
      </w:r>
    </w:p>
    <w:p w14:paraId="727068BE" w14:textId="23395EC8" w:rsidR="00611782" w:rsidRPr="00524A62" w:rsidRDefault="00611782" w:rsidP="0049018D">
      <w:pPr>
        <w:rPr>
          <w:rFonts w:cstheme="minorHAnsi"/>
          <w:lang w:val="en-US"/>
        </w:rPr>
      </w:pPr>
      <w:r w:rsidRPr="00524A62">
        <w:rPr>
          <w:rFonts w:cstheme="minorHAnsi"/>
          <w:b/>
          <w:bCs/>
          <w:lang w:val="en-US"/>
        </w:rPr>
        <w:t xml:space="preserve">NOTE: </w:t>
      </w:r>
      <w:r w:rsidRPr="00524A62">
        <w:rPr>
          <w:rFonts w:cstheme="minorHAnsi"/>
          <w:lang w:val="en-US"/>
        </w:rPr>
        <w:t>We do not</w:t>
      </w:r>
      <w:r w:rsidR="00DC6DC2" w:rsidRPr="00524A62">
        <w:rPr>
          <w:rFonts w:cstheme="minorHAnsi"/>
          <w:lang w:val="en-US"/>
        </w:rPr>
        <w:t xml:space="preserve"> record</w:t>
      </w:r>
      <w:r w:rsidRPr="00524A62">
        <w:rPr>
          <w:rFonts w:cstheme="minorHAnsi"/>
          <w:lang w:val="en-US"/>
        </w:rPr>
        <w:t xml:space="preserve"> </w:t>
      </w:r>
      <w:r w:rsidR="00ED3C5C" w:rsidRPr="00524A62">
        <w:rPr>
          <w:rFonts w:cstheme="minorHAnsi"/>
          <w:lang w:val="en-US"/>
        </w:rPr>
        <w:t xml:space="preserve">policies specifically to promote </w:t>
      </w:r>
      <w:r w:rsidRPr="00524A62">
        <w:rPr>
          <w:rFonts w:cstheme="minorHAnsi"/>
          <w:lang w:val="en-US"/>
        </w:rPr>
        <w:t>co-generation of heat and electricity in thi</w:t>
      </w:r>
      <w:r w:rsidR="00ED3C5C" w:rsidRPr="00524A62">
        <w:rPr>
          <w:rFonts w:cstheme="minorHAnsi"/>
          <w:lang w:val="en-US"/>
        </w:rPr>
        <w:t xml:space="preserve">s dataset. </w:t>
      </w:r>
    </w:p>
    <w:p w14:paraId="741BD5DF" w14:textId="311FF076" w:rsidR="0049018D" w:rsidRPr="00524A62" w:rsidRDefault="0049018D" w:rsidP="0049018D">
      <w:pPr>
        <w:rPr>
          <w:rFonts w:cstheme="minorHAnsi"/>
          <w:lang w:val="en-US"/>
        </w:rPr>
      </w:pPr>
      <w:r w:rsidRPr="00524A62">
        <w:rPr>
          <w:rFonts w:eastAsia="Times New Roman" w:cstheme="minorHAnsi"/>
          <w:color w:val="000000"/>
          <w:lang w:val="en-US" w:eastAsia="en-IN"/>
        </w:rPr>
        <w:t xml:space="preserve">Sometimes policy instruments will cover multiple technologies, without differentiating between support levels or quotas for different technology types (such as a tender for both solar PV and wind).  In such cases, we record this as “multiple” under </w:t>
      </w:r>
      <w:r w:rsidR="00A21A6A" w:rsidRPr="00524A62">
        <w:rPr>
          <w:rFonts w:eastAsia="Times New Roman" w:cstheme="minorHAnsi"/>
          <w:color w:val="000000"/>
          <w:lang w:val="en-US" w:eastAsia="en-IN"/>
        </w:rPr>
        <w:t>technology_</w:t>
      </w:r>
      <w:r w:rsidRPr="00524A62">
        <w:rPr>
          <w:rFonts w:eastAsia="Times New Roman" w:cstheme="minorHAnsi"/>
          <w:color w:val="000000"/>
          <w:lang w:val="en-US" w:eastAsia="en-IN"/>
        </w:rPr>
        <w:t xml:space="preserve">type. Further information about the combination of technologies supported when the value is “multiple” is recorded in the </w:t>
      </w:r>
      <w:r w:rsidR="00A21A6A" w:rsidRPr="00524A62">
        <w:rPr>
          <w:rFonts w:eastAsia="Times New Roman" w:cstheme="minorHAnsi"/>
          <w:color w:val="000000"/>
          <w:lang w:val="en-US" w:eastAsia="en-IN"/>
        </w:rPr>
        <w:t>technology_</w:t>
      </w:r>
      <w:r w:rsidRPr="00524A62">
        <w:rPr>
          <w:rFonts w:eastAsia="Times New Roman" w:cstheme="minorHAnsi"/>
          <w:color w:val="000000"/>
          <w:lang w:val="en-US" w:eastAsia="en-IN"/>
        </w:rPr>
        <w:t xml:space="preserve">type_multiple column. </w:t>
      </w:r>
    </w:p>
    <w:p w14:paraId="6AE8C984" w14:textId="39B97A57" w:rsidR="0049018D" w:rsidRPr="00524A62" w:rsidRDefault="0049018D" w:rsidP="0049018D">
      <w:pPr>
        <w:rPr>
          <w:rFonts w:cstheme="minorHAnsi"/>
          <w:lang w:val="en-US"/>
        </w:rPr>
      </w:pPr>
      <w:r w:rsidRPr="00524A62">
        <w:rPr>
          <w:rFonts w:cstheme="minorHAnsi"/>
          <w:lang w:val="en-US"/>
        </w:rPr>
        <w:t xml:space="preserve">In some cases, there are additional technology-specific requirements for eligibility. For example, some countries may only grant support to solar PV if it is grid-connected, or if it includes storage. A similar technology-specific requirement is a local content requirement, </w:t>
      </w:r>
      <w:r w:rsidR="005A02AB" w:rsidRPr="00524A62">
        <w:rPr>
          <w:rFonts w:cstheme="minorHAnsi"/>
          <w:lang w:val="en-US"/>
        </w:rPr>
        <w:t>i.e.,</w:t>
      </w:r>
      <w:r w:rsidRPr="00524A62">
        <w:rPr>
          <w:rFonts w:cstheme="minorHAnsi"/>
          <w:lang w:val="en-US"/>
        </w:rPr>
        <w:t xml:space="preserve"> that the components for the installation must be from the country. These requirements are recorded in the column “</w:t>
      </w:r>
      <w:r w:rsidR="00A21A6A" w:rsidRPr="00524A62">
        <w:rPr>
          <w:rFonts w:cstheme="minorHAnsi"/>
          <w:lang w:val="en-US"/>
        </w:rPr>
        <w:t>technology_</w:t>
      </w:r>
      <w:r w:rsidRPr="00524A62">
        <w:rPr>
          <w:rFonts w:cstheme="minorHAnsi"/>
          <w:lang w:val="en-US"/>
        </w:rPr>
        <w:t xml:space="preserve">requirement”. Requirement terms such as “dedicated energy crops” are taken from the source.  </w:t>
      </w:r>
    </w:p>
    <w:p w14:paraId="204B9E1F" w14:textId="77777777" w:rsidR="00005558" w:rsidRPr="00551268" w:rsidRDefault="00005558" w:rsidP="00005558">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6</w:t>
      </w:r>
      <w:r w:rsidRPr="00551268">
        <w:rPr>
          <w:noProof/>
          <w:lang w:val="en-US"/>
        </w:rPr>
        <w:fldChar w:fldCharType="end"/>
      </w:r>
      <w:r w:rsidRPr="00551268">
        <w:rPr>
          <w:lang w:val="en-US"/>
        </w:rPr>
        <w:t>: Illustration: multiple technology types and technology requirements</w:t>
      </w:r>
    </w:p>
    <w:tbl>
      <w:tblPr>
        <w:tblStyle w:val="TableGrid"/>
        <w:tblW w:w="0" w:type="auto"/>
        <w:tblLayout w:type="fixed"/>
        <w:tblLook w:val="04A0" w:firstRow="1" w:lastRow="0" w:firstColumn="1" w:lastColumn="0" w:noHBand="0" w:noVBand="1"/>
      </w:tblPr>
      <w:tblGrid>
        <w:gridCol w:w="1770"/>
        <w:gridCol w:w="3895"/>
        <w:gridCol w:w="3397"/>
      </w:tblGrid>
      <w:tr w:rsidR="0049018D" w:rsidRPr="00524A62" w14:paraId="5B0D90C0" w14:textId="77777777" w:rsidTr="00EF0B89">
        <w:trPr>
          <w:trHeight w:val="155"/>
        </w:trPr>
        <w:tc>
          <w:tcPr>
            <w:tcW w:w="1770" w:type="dxa"/>
            <w:noWrap/>
          </w:tcPr>
          <w:p w14:paraId="13867AF1" w14:textId="77777777" w:rsidR="0049018D" w:rsidRPr="00524A62" w:rsidRDefault="0049018D" w:rsidP="0005606D">
            <w:pPr>
              <w:rPr>
                <w:rFonts w:cstheme="minorHAnsi"/>
                <w:lang w:val="en-US"/>
              </w:rPr>
            </w:pPr>
            <w:r w:rsidRPr="00524A62">
              <w:rPr>
                <w:rFonts w:cstheme="minorHAnsi"/>
                <w:b/>
                <w:bCs/>
                <w:lang w:val="en-US" w:eastAsia="en-IN"/>
              </w:rPr>
              <w:t>Variable name</w:t>
            </w:r>
          </w:p>
        </w:tc>
        <w:tc>
          <w:tcPr>
            <w:tcW w:w="3895" w:type="dxa"/>
            <w:noWrap/>
          </w:tcPr>
          <w:p w14:paraId="29273336" w14:textId="630D4CE5" w:rsidR="0049018D" w:rsidRPr="00524A62" w:rsidRDefault="009328BD" w:rsidP="0005606D">
            <w:pPr>
              <w:rPr>
                <w:rFonts w:cstheme="minorHAnsi"/>
                <w:lang w:val="en-US"/>
              </w:rPr>
            </w:pPr>
            <w:r w:rsidRPr="00524A62">
              <w:rPr>
                <w:rFonts w:cstheme="minorHAnsi"/>
                <w:b/>
                <w:bCs/>
                <w:lang w:val="en-US" w:eastAsia="en-IN"/>
              </w:rPr>
              <w:t>D</w:t>
            </w:r>
            <w:r w:rsidR="0049018D" w:rsidRPr="00524A62">
              <w:rPr>
                <w:rFonts w:cstheme="minorHAnsi"/>
                <w:b/>
                <w:bCs/>
                <w:lang w:val="en-US" w:eastAsia="en-IN"/>
              </w:rPr>
              <w:t>escription</w:t>
            </w:r>
          </w:p>
        </w:tc>
        <w:tc>
          <w:tcPr>
            <w:tcW w:w="3397" w:type="dxa"/>
            <w:noWrap/>
          </w:tcPr>
          <w:p w14:paraId="5FE47947" w14:textId="77777777" w:rsidR="0049018D" w:rsidRPr="00524A62" w:rsidRDefault="0049018D" w:rsidP="0005606D">
            <w:pPr>
              <w:rPr>
                <w:rFonts w:cstheme="minorHAnsi"/>
                <w:lang w:val="en-US"/>
              </w:rPr>
            </w:pPr>
            <w:r w:rsidRPr="00524A62">
              <w:rPr>
                <w:rFonts w:cstheme="minorHAnsi"/>
                <w:b/>
                <w:bCs/>
                <w:lang w:val="en-US" w:eastAsia="en-IN"/>
              </w:rPr>
              <w:t>Values (RE dataset)</w:t>
            </w:r>
          </w:p>
        </w:tc>
      </w:tr>
      <w:tr w:rsidR="0049018D" w:rsidRPr="008D4356" w14:paraId="1A081DC9" w14:textId="77777777" w:rsidTr="00EF0B89">
        <w:trPr>
          <w:trHeight w:val="155"/>
        </w:trPr>
        <w:tc>
          <w:tcPr>
            <w:tcW w:w="1770" w:type="dxa"/>
            <w:noWrap/>
          </w:tcPr>
          <w:p w14:paraId="32770E89" w14:textId="72FED9CE" w:rsidR="0049018D" w:rsidRPr="00524A62" w:rsidRDefault="00A21A6A" w:rsidP="0005606D">
            <w:pPr>
              <w:rPr>
                <w:rFonts w:cstheme="minorHAnsi"/>
                <w:lang w:val="en-US"/>
              </w:rPr>
            </w:pPr>
            <w:r w:rsidRPr="00524A62">
              <w:rPr>
                <w:rFonts w:cstheme="minorHAnsi"/>
                <w:lang w:val="en-US"/>
              </w:rPr>
              <w:t>technology_</w:t>
            </w:r>
            <w:r w:rsidR="0049018D" w:rsidRPr="00524A62">
              <w:rPr>
                <w:rFonts w:cstheme="minorHAnsi"/>
                <w:lang w:val="en-US"/>
              </w:rPr>
              <w:t>type_multiple</w:t>
            </w:r>
          </w:p>
        </w:tc>
        <w:tc>
          <w:tcPr>
            <w:tcW w:w="3895" w:type="dxa"/>
            <w:noWrap/>
          </w:tcPr>
          <w:p w14:paraId="1C75701E" w14:textId="77777777" w:rsidR="0049018D" w:rsidRPr="00524A62" w:rsidRDefault="0049018D" w:rsidP="0005606D">
            <w:pPr>
              <w:rPr>
                <w:rFonts w:cstheme="minorHAnsi"/>
                <w:lang w:val="en-US"/>
              </w:rPr>
            </w:pPr>
            <w:r w:rsidRPr="00524A62">
              <w:rPr>
                <w:rFonts w:cstheme="minorHAnsi"/>
                <w:lang w:val="en-US"/>
              </w:rPr>
              <w:t>When multiple technologies are supported without a clear differentiation of support levels</w:t>
            </w:r>
          </w:p>
        </w:tc>
        <w:tc>
          <w:tcPr>
            <w:tcW w:w="3397" w:type="dxa"/>
            <w:noWrap/>
          </w:tcPr>
          <w:p w14:paraId="605AFA46" w14:textId="77777777" w:rsidR="0049018D" w:rsidRPr="00524A62" w:rsidRDefault="0049018D" w:rsidP="0005606D">
            <w:pPr>
              <w:rPr>
                <w:rFonts w:cstheme="minorHAnsi"/>
                <w:lang w:val="en-US"/>
              </w:rPr>
            </w:pPr>
            <w:r w:rsidRPr="00524A62">
              <w:rPr>
                <w:rFonts w:cstheme="minorHAnsi"/>
                <w:lang w:val="en-US"/>
              </w:rPr>
              <w:t>PV and wind</w:t>
            </w:r>
          </w:p>
          <w:p w14:paraId="1D40454B" w14:textId="77777777" w:rsidR="0049018D" w:rsidRPr="00524A62" w:rsidRDefault="0049018D" w:rsidP="0005606D">
            <w:pPr>
              <w:rPr>
                <w:rFonts w:cstheme="minorHAnsi"/>
                <w:lang w:val="en-US"/>
              </w:rPr>
            </w:pPr>
            <w:r w:rsidRPr="00524A62">
              <w:rPr>
                <w:rFonts w:cstheme="minorHAnsi"/>
                <w:lang w:val="en-US"/>
              </w:rPr>
              <w:t>PV, hydro and bioenergy</w:t>
            </w:r>
          </w:p>
          <w:p w14:paraId="45AF1D5F" w14:textId="77777777" w:rsidR="0049018D" w:rsidRPr="00524A62" w:rsidRDefault="0049018D" w:rsidP="0005606D">
            <w:pPr>
              <w:rPr>
                <w:rFonts w:cstheme="minorHAnsi"/>
                <w:lang w:val="en-US"/>
              </w:rPr>
            </w:pPr>
            <w:r w:rsidRPr="00524A62">
              <w:rPr>
                <w:rFonts w:cstheme="minorHAnsi"/>
                <w:lang w:val="en-US"/>
              </w:rPr>
              <w:t>biomass and wind</w:t>
            </w:r>
          </w:p>
          <w:p w14:paraId="6A069828" w14:textId="77777777" w:rsidR="0049018D" w:rsidRPr="00524A62" w:rsidRDefault="0049018D" w:rsidP="0005606D">
            <w:pPr>
              <w:rPr>
                <w:rFonts w:cstheme="minorHAnsi"/>
                <w:lang w:val="en-US"/>
              </w:rPr>
            </w:pPr>
            <w:r w:rsidRPr="00524A62">
              <w:rPr>
                <w:rFonts w:cstheme="minorHAnsi"/>
                <w:lang w:val="en-US"/>
              </w:rPr>
              <w:t>biomass, PV and wind</w:t>
            </w:r>
          </w:p>
        </w:tc>
      </w:tr>
      <w:tr w:rsidR="0049018D" w:rsidRPr="008D4356" w14:paraId="62CBB429" w14:textId="77777777" w:rsidTr="00EF0B89">
        <w:trPr>
          <w:trHeight w:val="778"/>
        </w:trPr>
        <w:tc>
          <w:tcPr>
            <w:tcW w:w="1770" w:type="dxa"/>
            <w:noWrap/>
            <w:hideMark/>
          </w:tcPr>
          <w:p w14:paraId="446B6709" w14:textId="531B242D" w:rsidR="0049018D" w:rsidRPr="00524A62" w:rsidRDefault="00A21A6A" w:rsidP="0005606D">
            <w:pPr>
              <w:rPr>
                <w:rFonts w:cstheme="minorHAnsi"/>
                <w:lang w:val="en-US"/>
              </w:rPr>
            </w:pPr>
            <w:r w:rsidRPr="00524A62">
              <w:rPr>
                <w:rFonts w:cstheme="minorHAnsi"/>
                <w:lang w:val="en-US"/>
              </w:rPr>
              <w:t>technology_</w:t>
            </w:r>
            <w:r w:rsidR="0049018D" w:rsidRPr="00524A62">
              <w:rPr>
                <w:rFonts w:cstheme="minorHAnsi"/>
                <w:lang w:val="en-US"/>
              </w:rPr>
              <w:t>requirement</w:t>
            </w:r>
          </w:p>
        </w:tc>
        <w:tc>
          <w:tcPr>
            <w:tcW w:w="3895" w:type="dxa"/>
            <w:noWrap/>
          </w:tcPr>
          <w:p w14:paraId="675C94E4" w14:textId="77777777" w:rsidR="0049018D" w:rsidRPr="00524A62" w:rsidRDefault="0049018D" w:rsidP="0005606D">
            <w:pPr>
              <w:rPr>
                <w:rFonts w:cstheme="minorHAnsi"/>
                <w:lang w:val="en-US"/>
              </w:rPr>
            </w:pPr>
            <w:r w:rsidRPr="00524A62">
              <w:rPr>
                <w:rFonts w:cstheme="minorHAnsi"/>
                <w:lang w:val="en-US"/>
              </w:rPr>
              <w:t>A technology-specific requirement for support eligibility</w:t>
            </w:r>
          </w:p>
        </w:tc>
        <w:tc>
          <w:tcPr>
            <w:tcW w:w="3397" w:type="dxa"/>
            <w:noWrap/>
            <w:hideMark/>
          </w:tcPr>
          <w:p w14:paraId="55E8E5FB" w14:textId="74107315" w:rsidR="0049018D" w:rsidRPr="00524A62" w:rsidRDefault="0049018D" w:rsidP="00302603">
            <w:pPr>
              <w:rPr>
                <w:rFonts w:cstheme="minorHAnsi"/>
                <w:lang w:val="en-US"/>
              </w:rPr>
            </w:pPr>
            <w:r w:rsidRPr="00524A62">
              <w:rPr>
                <w:rFonts w:cstheme="minorHAnsi"/>
                <w:lang w:val="en-US"/>
              </w:rPr>
              <w:t>building</w:t>
            </w:r>
            <w:r w:rsidR="00FC6078" w:rsidRPr="00524A62">
              <w:rPr>
                <w:rFonts w:cstheme="minorHAnsi"/>
                <w:lang w:val="en-US"/>
              </w:rPr>
              <w:t>-</w:t>
            </w:r>
            <w:r w:rsidRPr="00524A62">
              <w:rPr>
                <w:rFonts w:cstheme="minorHAnsi"/>
                <w:lang w:val="en-US"/>
              </w:rPr>
              <w:t>integrated</w:t>
            </w:r>
            <w:r w:rsidR="00302603" w:rsidRPr="00524A62">
              <w:rPr>
                <w:rFonts w:cstheme="minorHAnsi"/>
                <w:lang w:val="en-US"/>
              </w:rPr>
              <w:t xml:space="preserve">, </w:t>
            </w:r>
            <w:r w:rsidRPr="00524A62">
              <w:rPr>
                <w:rFonts w:cstheme="minorHAnsi"/>
                <w:lang w:val="en-US"/>
              </w:rPr>
              <w:t>dedicated energy crops</w:t>
            </w:r>
            <w:r w:rsidR="00302603" w:rsidRPr="00524A62">
              <w:rPr>
                <w:rFonts w:cstheme="minorHAnsi"/>
                <w:lang w:val="en-US"/>
              </w:rPr>
              <w:t xml:space="preserve">, </w:t>
            </w:r>
            <w:r w:rsidRPr="00524A62">
              <w:rPr>
                <w:rFonts w:cstheme="minorHAnsi"/>
                <w:lang w:val="en-US"/>
              </w:rPr>
              <w:t>small-scale</w:t>
            </w:r>
            <w:r w:rsidR="00302603" w:rsidRPr="00524A62">
              <w:rPr>
                <w:rFonts w:cstheme="minorHAnsi"/>
                <w:lang w:val="en-US"/>
              </w:rPr>
              <w:t xml:space="preserve">, </w:t>
            </w:r>
            <w:r w:rsidRPr="00524A62">
              <w:rPr>
                <w:rFonts w:cstheme="minorHAnsi"/>
                <w:lang w:val="en-US"/>
              </w:rPr>
              <w:t>local content requirements</w:t>
            </w:r>
            <w:r w:rsidR="00302603" w:rsidRPr="00524A62">
              <w:rPr>
                <w:rFonts w:cstheme="minorHAnsi"/>
                <w:lang w:val="en-US"/>
              </w:rPr>
              <w:t xml:space="preserve">, with storage …etc. </w:t>
            </w:r>
          </w:p>
        </w:tc>
      </w:tr>
    </w:tbl>
    <w:p w14:paraId="3E607177" w14:textId="77777777" w:rsidR="0048227D" w:rsidRPr="00524A62" w:rsidRDefault="0048227D" w:rsidP="0048227D">
      <w:pPr>
        <w:pStyle w:val="Heading2"/>
        <w:rPr>
          <w:lang w:val="en-US"/>
        </w:rPr>
      </w:pPr>
      <w:bookmarkStart w:id="16" w:name="_Toc219972868"/>
      <w:r w:rsidRPr="00524A62">
        <w:rPr>
          <w:lang w:val="en-US"/>
        </w:rPr>
        <w:t>Actors</w:t>
      </w:r>
      <w:bookmarkEnd w:id="16"/>
    </w:p>
    <w:p w14:paraId="14EDB7BA" w14:textId="79ACF78C" w:rsidR="0048227D" w:rsidRPr="00524A62" w:rsidRDefault="0048227D" w:rsidP="0048227D">
      <w:pPr>
        <w:rPr>
          <w:lang w:val="en-US"/>
        </w:rPr>
      </w:pPr>
      <w:r w:rsidRPr="00524A62">
        <w:rPr>
          <w:lang w:val="en-US"/>
        </w:rPr>
        <w:t>Some policies specify which actors are eligible, excluding others: for example, a tax break which is only for SMEs. In general,</w:t>
      </w:r>
      <w:r w:rsidR="00986ACC" w:rsidRPr="00524A62">
        <w:rPr>
          <w:lang w:val="en-US"/>
        </w:rPr>
        <w:t xml:space="preserve"> grants</w:t>
      </w:r>
      <w:r w:rsidRPr="00524A62">
        <w:rPr>
          <w:lang w:val="en-US"/>
        </w:rPr>
        <w:t xml:space="preserve"> and tax incentives tend to have </w:t>
      </w:r>
      <w:r w:rsidR="00EB7A54" w:rsidRPr="00524A62">
        <w:rPr>
          <w:lang w:val="en-US"/>
        </w:rPr>
        <w:t>actors eligible</w:t>
      </w:r>
      <w:r w:rsidRPr="00524A62">
        <w:rPr>
          <w:lang w:val="en-US"/>
        </w:rPr>
        <w:t xml:space="preserve">. Other policies may have multiple conditions: for example, they give different support rates according to both the size of the installation, and the type of actor with low-income households getting higher support rates. </w:t>
      </w:r>
    </w:p>
    <w:p w14:paraId="64E46EF2" w14:textId="6E711C24" w:rsidR="004508CB" w:rsidRPr="00524A62" w:rsidRDefault="0048227D" w:rsidP="00C9772E">
      <w:pPr>
        <w:contextualSpacing/>
        <w:rPr>
          <w:lang w:val="en-US"/>
        </w:rPr>
      </w:pPr>
      <w:r w:rsidRPr="00524A62">
        <w:rPr>
          <w:lang w:val="en-US"/>
        </w:rPr>
        <w:t xml:space="preserve">In these cases, we record the actor for whom this policy applies. We use the definition that is provided by the policymaker – if they say the policy is only for SMEs, we do not double-check what that definition is. </w:t>
      </w:r>
      <w:r w:rsidR="00C9772E" w:rsidRPr="00524A62">
        <w:rPr>
          <w:lang w:val="en-US"/>
        </w:rPr>
        <w:t xml:space="preserve">There are a few projects that are given specific support, usually larger infrastructure projects; these are recorded </w:t>
      </w:r>
      <w:r w:rsidR="00E94437" w:rsidRPr="00524A62">
        <w:rPr>
          <w:lang w:val="en-US"/>
        </w:rPr>
        <w:t>under</w:t>
      </w:r>
      <w:r w:rsidR="00795BFB" w:rsidRPr="00524A62">
        <w:rPr>
          <w:lang w:val="en-US"/>
        </w:rPr>
        <w:t xml:space="preserve"> the instrument type “grant”</w:t>
      </w:r>
      <w:r w:rsidR="00E94437" w:rsidRPr="00524A62">
        <w:rPr>
          <w:lang w:val="en-US"/>
        </w:rPr>
        <w:t xml:space="preserve"> with the Actor “project-specific subsidy”. </w:t>
      </w:r>
    </w:p>
    <w:p w14:paraId="57C65328" w14:textId="77777777" w:rsidR="00C9772E" w:rsidRPr="00524A62" w:rsidRDefault="00C9772E" w:rsidP="00C9772E">
      <w:pPr>
        <w:contextualSpacing/>
        <w:rPr>
          <w:lang w:val="en-US"/>
        </w:rPr>
      </w:pPr>
    </w:p>
    <w:p w14:paraId="5A40CEC0" w14:textId="365C0131" w:rsidR="00EB7A54" w:rsidRPr="00524A62" w:rsidRDefault="00EB7A54" w:rsidP="00EB7A54">
      <w:pPr>
        <w:rPr>
          <w:lang w:val="en-US"/>
        </w:rPr>
      </w:pPr>
      <w:r w:rsidRPr="00524A62">
        <w:rPr>
          <w:b/>
          <w:bCs/>
          <w:lang w:val="en-US"/>
        </w:rPr>
        <w:t>NOTE</w:t>
      </w:r>
      <w:r w:rsidRPr="00524A62">
        <w:rPr>
          <w:lang w:val="en-US"/>
        </w:rPr>
        <w:t>: we only record specified actors if this is included as an important condition for the policy. If a policy is extremely narrow in terms of actors it applies to (</w:t>
      </w:r>
      <w:r w:rsidR="005A02AB" w:rsidRPr="00524A62">
        <w:rPr>
          <w:lang w:val="en-US"/>
        </w:rPr>
        <w:t>i.e.,</w:t>
      </w:r>
      <w:r w:rsidRPr="00524A62">
        <w:rPr>
          <w:lang w:val="en-US"/>
        </w:rPr>
        <w:t xml:space="preserve"> only public employees commuting over 100 km per day) we do not record it in the database.</w:t>
      </w:r>
    </w:p>
    <w:p w14:paraId="4C637CDF" w14:textId="48ACF2EB" w:rsidR="00331A83" w:rsidRPr="00524A62" w:rsidRDefault="0055691F" w:rsidP="0055691F">
      <w:pPr>
        <w:contextualSpacing/>
        <w:rPr>
          <w:rFonts w:cstheme="minorHAnsi"/>
          <w:lang w:val="en-US"/>
        </w:rPr>
      </w:pPr>
      <w:r w:rsidRPr="00524A62">
        <w:rPr>
          <w:rFonts w:cstheme="minorHAnsi"/>
          <w:b/>
          <w:bCs/>
          <w:lang w:val="en-US"/>
        </w:rPr>
        <w:t xml:space="preserve">NOTE: </w:t>
      </w:r>
      <w:r w:rsidRPr="00524A62">
        <w:rPr>
          <w:rFonts w:cstheme="minorHAnsi"/>
          <w:lang w:val="en-US"/>
        </w:rPr>
        <w:t xml:space="preserve">Since the </w:t>
      </w:r>
      <w:r w:rsidR="00A21A6A" w:rsidRPr="00524A62">
        <w:rPr>
          <w:rFonts w:cstheme="minorHAnsi"/>
          <w:lang w:val="en-US"/>
        </w:rPr>
        <w:t>technology_</w:t>
      </w:r>
      <w:r w:rsidRPr="00524A62">
        <w:rPr>
          <w:rFonts w:cstheme="minorHAnsi"/>
          <w:lang w:val="en-US"/>
        </w:rPr>
        <w:t xml:space="preserve">requirement and </w:t>
      </w:r>
      <w:r w:rsidR="005A02AB">
        <w:rPr>
          <w:rFonts w:cstheme="minorHAnsi"/>
          <w:lang w:val="en-US"/>
        </w:rPr>
        <w:t>a</w:t>
      </w:r>
      <w:r w:rsidRPr="00524A62">
        <w:rPr>
          <w:rFonts w:cstheme="minorHAnsi"/>
          <w:lang w:val="en-US"/>
        </w:rPr>
        <w:t xml:space="preserve">ctors variables represent conditions that must be fulfilled for the support to be granted, it is not possible to directly compare observations where </w:t>
      </w:r>
      <w:r w:rsidR="006F20C0" w:rsidRPr="00524A62">
        <w:rPr>
          <w:rFonts w:cstheme="minorHAnsi"/>
          <w:lang w:val="en-US"/>
        </w:rPr>
        <w:t>they</w:t>
      </w:r>
      <w:r w:rsidRPr="00524A62">
        <w:rPr>
          <w:rFonts w:cstheme="minorHAnsi"/>
          <w:lang w:val="en-US"/>
        </w:rPr>
        <w:t xml:space="preserve"> differ. For example, this applies to PV installations with and without storage, or to </w:t>
      </w:r>
      <w:r w:rsidR="00986ACC" w:rsidRPr="00524A62">
        <w:rPr>
          <w:rFonts w:cstheme="minorHAnsi"/>
          <w:lang w:val="en-US"/>
        </w:rPr>
        <w:t>grants for</w:t>
      </w:r>
      <w:r w:rsidRPr="00524A62">
        <w:rPr>
          <w:rFonts w:cstheme="minorHAnsi"/>
          <w:lang w:val="en-US"/>
        </w:rPr>
        <w:t xml:space="preserve"> SMEs in one case and </w:t>
      </w:r>
      <w:r w:rsidR="0093160F" w:rsidRPr="00524A62">
        <w:rPr>
          <w:rFonts w:cstheme="minorHAnsi"/>
          <w:lang w:val="en-US"/>
        </w:rPr>
        <w:t>for</w:t>
      </w:r>
      <w:r w:rsidRPr="00524A62">
        <w:rPr>
          <w:rFonts w:cstheme="minorHAnsi"/>
          <w:lang w:val="en-US"/>
        </w:rPr>
        <w:t xml:space="preserve"> households in another, even though the </w:t>
      </w:r>
      <w:r w:rsidR="00A21A6A" w:rsidRPr="00524A62">
        <w:rPr>
          <w:rFonts w:cstheme="minorHAnsi"/>
          <w:lang w:val="en-US"/>
        </w:rPr>
        <w:t>technology_</w:t>
      </w:r>
      <w:r w:rsidRPr="00524A62">
        <w:rPr>
          <w:rFonts w:cstheme="minorHAnsi"/>
          <w:lang w:val="en-US"/>
        </w:rPr>
        <w:t>type is the same in the dataset.</w:t>
      </w:r>
    </w:p>
    <w:p w14:paraId="31F9C2D5" w14:textId="5C18C55C" w:rsidR="003A483C" w:rsidRPr="00524A62" w:rsidRDefault="003A483C" w:rsidP="003A483C">
      <w:pPr>
        <w:pStyle w:val="Heading2"/>
        <w:rPr>
          <w:lang w:val="en-US" w:eastAsia="en-IN"/>
        </w:rPr>
      </w:pPr>
      <w:bookmarkStart w:id="17" w:name="_Toc219972869"/>
      <w:r w:rsidRPr="00524A62">
        <w:rPr>
          <w:lang w:val="en-US" w:eastAsia="en-IN"/>
        </w:rPr>
        <w:t>Policy name and budget</w:t>
      </w:r>
      <w:bookmarkEnd w:id="17"/>
    </w:p>
    <w:p w14:paraId="55B438D9" w14:textId="1804A754" w:rsidR="003A483C" w:rsidRPr="00524A62" w:rsidRDefault="003A483C" w:rsidP="003A483C">
      <w:pPr>
        <w:rPr>
          <w:rFonts w:cstheme="minorHAnsi"/>
          <w:lang w:val="en-US" w:eastAsia="en-IN"/>
        </w:rPr>
      </w:pPr>
      <w:r w:rsidRPr="00524A62">
        <w:rPr>
          <w:rFonts w:cstheme="minorHAnsi"/>
          <w:b/>
          <w:bCs/>
          <w:lang w:val="en-US" w:eastAsia="en-IN"/>
        </w:rPr>
        <w:t>Name:</w:t>
      </w:r>
      <w:r w:rsidRPr="00524A62">
        <w:rPr>
          <w:rFonts w:cstheme="minorHAnsi"/>
          <w:lang w:val="en-US" w:eastAsia="en-IN"/>
        </w:rPr>
        <w:t xml:space="preserve"> In column “policy_name” we record the name of the policy or policy document where the benefits are granted. For example: in the case of tax exemptions, these are usually recorded in the yearly budget, so the column value for “name” would be “Budget 2008”, “Budget 2010”, etc. In other cases, the policy instrument has a common name by which is it is referred to, such as “Sustainable Energy Authority of Ireland (SEAI) Grant Scheme”.  This is just to indicate to a data user that all cells with “Budget 2008” or “Sustainable Energy Authority of Ireland (SEAI) Grant Scheme” are related, in case they need to look more closely at them for analysis.</w:t>
      </w:r>
    </w:p>
    <w:p w14:paraId="0A7FB66A" w14:textId="78DF983B" w:rsidR="00331A83" w:rsidRPr="00524A62" w:rsidRDefault="003A483C" w:rsidP="0055691F">
      <w:pPr>
        <w:rPr>
          <w:lang w:val="en-US"/>
        </w:rPr>
      </w:pPr>
      <w:r w:rsidRPr="00524A62">
        <w:rPr>
          <w:rFonts w:eastAsia="Times New Roman" w:cstheme="minorHAnsi"/>
          <w:b/>
          <w:bCs/>
          <w:color w:val="000000"/>
          <w:lang w:val="en-US" w:eastAsia="en-IN"/>
        </w:rPr>
        <w:t xml:space="preserve">Budget: </w:t>
      </w:r>
      <w:r w:rsidR="00CB7CD6" w:rsidRPr="00524A62">
        <w:rPr>
          <w:rFonts w:cstheme="minorHAnsi"/>
          <w:lang w:val="en-US" w:eastAsia="en-IN"/>
        </w:rPr>
        <w:t>The government budget is the amount of currency which is budgeted for a support instrument per year</w:t>
      </w:r>
      <w:r w:rsidR="00CB7CD6" w:rsidRPr="00524A62">
        <w:rPr>
          <w:rFonts w:eastAsia="Times New Roman" w:cstheme="minorHAnsi"/>
          <w:color w:val="000000"/>
          <w:lang w:val="en-US" w:eastAsia="en-IN"/>
        </w:rPr>
        <w:t>. I</w:t>
      </w:r>
      <w:r w:rsidRPr="00524A62">
        <w:rPr>
          <w:rFonts w:eastAsia="Times New Roman" w:cstheme="minorHAnsi"/>
          <w:color w:val="000000"/>
          <w:lang w:val="en-US" w:eastAsia="en-IN"/>
        </w:rPr>
        <w:t>f information is available, we record information on the total budget for the policy instrument</w:t>
      </w:r>
      <w:r w:rsidR="00CB7CD6" w:rsidRPr="00524A62">
        <w:rPr>
          <w:rFonts w:eastAsia="Times New Roman" w:cstheme="minorHAnsi"/>
          <w:color w:val="000000"/>
          <w:lang w:val="en-US" w:eastAsia="en-IN"/>
        </w:rPr>
        <w:t xml:space="preserve"> in </w:t>
      </w:r>
      <w:r w:rsidRPr="00524A62">
        <w:rPr>
          <w:rFonts w:eastAsia="Times New Roman" w:cstheme="minorHAnsi"/>
          <w:color w:val="000000"/>
          <w:lang w:val="en-US" w:eastAsia="en-IN"/>
        </w:rPr>
        <w:t>in the columns “Government_budget” and “Government_budget_currency”.</w:t>
      </w:r>
      <w:r w:rsidR="00393D0D" w:rsidRPr="00524A62">
        <w:rPr>
          <w:rFonts w:cstheme="minorHAnsi"/>
          <w:lang w:val="en-US" w:eastAsia="en-IN"/>
        </w:rPr>
        <w:t xml:space="preserve"> Sometimes information on yearly budget is not available, but only for the total budget of a program. If this is the case, budget information is recorded in the notes section. </w:t>
      </w:r>
    </w:p>
    <w:p w14:paraId="596F654E" w14:textId="06B8C986" w:rsidR="0049018D" w:rsidRPr="00524A62" w:rsidRDefault="0049018D" w:rsidP="000378D8">
      <w:pPr>
        <w:pStyle w:val="Heading2"/>
        <w:rPr>
          <w:lang w:val="en-US" w:eastAsia="en-IN"/>
        </w:rPr>
      </w:pPr>
      <w:bookmarkStart w:id="18" w:name="_Toc219972870"/>
      <w:r w:rsidRPr="00524A62">
        <w:rPr>
          <w:lang w:val="en-US"/>
        </w:rPr>
        <w:t>Policy</w:t>
      </w:r>
      <w:r w:rsidRPr="00524A62">
        <w:rPr>
          <w:lang w:val="en-US" w:eastAsia="en-IN"/>
        </w:rPr>
        <w:t xml:space="preserve"> change and What changed</w:t>
      </w:r>
      <w:bookmarkEnd w:id="18"/>
    </w:p>
    <w:p w14:paraId="218E4299" w14:textId="77777777" w:rsidR="0049018D" w:rsidRPr="00524A62" w:rsidRDefault="0049018D" w:rsidP="0049018D">
      <w:pPr>
        <w:rPr>
          <w:rFonts w:cstheme="minorHAnsi"/>
          <w:lang w:val="en-US" w:eastAsia="en-IN"/>
        </w:rPr>
      </w:pPr>
      <w:r w:rsidRPr="00524A62">
        <w:rPr>
          <w:rFonts w:cstheme="minorHAnsi"/>
          <w:lang w:val="en-US" w:eastAsia="en-IN"/>
        </w:rPr>
        <w:t>The entry “Policy change” is a binary variable, and is either “yes” or “no”, indicating that a policy did or did not change in a particular year (</w:t>
      </w:r>
      <w:r w:rsidRPr="00524A62">
        <w:rPr>
          <w:rFonts w:cstheme="minorHAnsi"/>
          <w:lang w:val="en-US" w:eastAsia="en-IN"/>
        </w:rPr>
        <w:fldChar w:fldCharType="begin"/>
      </w:r>
      <w:r w:rsidRPr="00524A62">
        <w:rPr>
          <w:rFonts w:cstheme="minorHAnsi"/>
          <w:lang w:val="en-US" w:eastAsia="en-IN"/>
        </w:rPr>
        <w:instrText xml:space="preserve"> REF _Ref191461274 \h </w:instrText>
      </w:r>
      <w:r w:rsidRPr="00524A62">
        <w:rPr>
          <w:rFonts w:cstheme="minorHAnsi"/>
          <w:lang w:val="en-US" w:eastAsia="en-IN"/>
        </w:rPr>
      </w:r>
      <w:r w:rsidRPr="00524A62">
        <w:rPr>
          <w:rFonts w:cstheme="minorHAnsi"/>
          <w:lang w:val="en-US" w:eastAsia="en-IN"/>
        </w:rPr>
        <w:fldChar w:fldCharType="separate"/>
      </w:r>
      <w:r w:rsidRPr="00524A62">
        <w:rPr>
          <w:lang w:val="en-US"/>
        </w:rPr>
        <w:t xml:space="preserve">Table </w:t>
      </w:r>
      <w:r w:rsidRPr="00524A62">
        <w:rPr>
          <w:noProof/>
          <w:lang w:val="en-US"/>
        </w:rPr>
        <w:t>6</w:t>
      </w:r>
      <w:r w:rsidRPr="00524A62">
        <w:rPr>
          <w:rFonts w:cstheme="minorHAnsi"/>
          <w:lang w:val="en-US" w:eastAsia="en-IN"/>
        </w:rPr>
        <w:fldChar w:fldCharType="end"/>
      </w:r>
      <w:r w:rsidRPr="00524A62">
        <w:rPr>
          <w:rFonts w:cstheme="minorHAnsi"/>
          <w:lang w:val="en-US" w:eastAsia="en-IN"/>
        </w:rPr>
        <w:t xml:space="preserve">). Policy change is recorded for the year that a change was enacted, not when it was decided. </w:t>
      </w:r>
    </w:p>
    <w:p w14:paraId="699D9DAE" w14:textId="77777777" w:rsidR="0049018D" w:rsidRPr="00524A62" w:rsidRDefault="0049018D" w:rsidP="0049018D">
      <w:pPr>
        <w:rPr>
          <w:rFonts w:cstheme="minorHAnsi"/>
          <w:lang w:val="en-US" w:eastAsia="en-IN"/>
        </w:rPr>
      </w:pPr>
      <w:r w:rsidRPr="00524A62">
        <w:rPr>
          <w:rFonts w:cstheme="minorHAnsi"/>
          <w:lang w:val="en-US" w:eastAsia="en-IN"/>
        </w:rPr>
        <w:t xml:space="preserve">The entry “What changed” describes how the enacted policy change affected the policy instrument for one of the variables we collect. For example, if a new policy was introduced, if a policy was cancelled, extended, support levels were increased or reduced, etc. There is no coding scheme for the values in this column; it is simply an annotation to help make the data-set more accessible for users. </w:t>
      </w:r>
    </w:p>
    <w:p w14:paraId="5EB6FB98" w14:textId="554B29F8" w:rsidR="0049018D" w:rsidRPr="00524A62" w:rsidRDefault="0049018D" w:rsidP="0049018D">
      <w:pPr>
        <w:rPr>
          <w:rFonts w:cstheme="minorHAnsi"/>
          <w:lang w:val="en-US" w:eastAsia="en-IN"/>
        </w:rPr>
      </w:pPr>
      <w:r w:rsidRPr="00524A62">
        <w:rPr>
          <w:rFonts w:cstheme="minorHAnsi"/>
          <w:lang w:val="en-US" w:eastAsia="en-IN"/>
        </w:rPr>
        <w:t xml:space="preserve">The “change” variable refers </w:t>
      </w:r>
      <w:r w:rsidR="00F14144" w:rsidRPr="00524A62">
        <w:rPr>
          <w:rFonts w:cstheme="minorHAnsi"/>
          <w:lang w:val="en-US" w:eastAsia="en-IN"/>
        </w:rPr>
        <w:t>to</w:t>
      </w:r>
      <w:r w:rsidRPr="00524A62">
        <w:rPr>
          <w:rFonts w:cstheme="minorHAnsi"/>
          <w:lang w:val="en-US" w:eastAsia="en-IN"/>
        </w:rPr>
        <w:t xml:space="preserve"> events that were not already part of the policy. For example, the German EV purchase </w:t>
      </w:r>
      <w:r w:rsidR="0044289B" w:rsidRPr="00524A62">
        <w:rPr>
          <w:rFonts w:cstheme="minorHAnsi"/>
          <w:lang w:val="en-US" w:eastAsia="en-IN"/>
        </w:rPr>
        <w:t>grant</w:t>
      </w:r>
      <w:r w:rsidRPr="00524A62">
        <w:rPr>
          <w:rFonts w:cstheme="minorHAnsi"/>
          <w:lang w:val="en-US" w:eastAsia="en-IN"/>
        </w:rPr>
        <w:t xml:space="preserve"> was originally slated to end in 2019, but was then extended. The decision in 2018 to extend the policy end year to 2025 constitutes a change. If a policy was originally scheduled to end in 2019 and did so</w:t>
      </w:r>
      <w:r w:rsidR="00F14144" w:rsidRPr="00524A62">
        <w:rPr>
          <w:rFonts w:cstheme="minorHAnsi"/>
          <w:lang w:val="en-US" w:eastAsia="en-IN"/>
        </w:rPr>
        <w:t>, we record policy_changed “yes” and then in the details about the change “policy ended”. This is different from a cancellation.</w:t>
      </w:r>
    </w:p>
    <w:p w14:paraId="2CDED8D3" w14:textId="0D8AA26F" w:rsidR="0049018D" w:rsidRPr="00524A62" w:rsidRDefault="0049018D" w:rsidP="0049018D">
      <w:pPr>
        <w:rPr>
          <w:rFonts w:cstheme="minorHAnsi"/>
          <w:lang w:val="en-US" w:eastAsia="en-IN"/>
        </w:rPr>
      </w:pPr>
      <w:r w:rsidRPr="00524A62">
        <w:rPr>
          <w:rFonts w:cstheme="minorHAnsi"/>
          <w:lang w:val="en-US" w:eastAsia="en-IN"/>
        </w:rPr>
        <w:t xml:space="preserve">Sometimes a new policy document is published without changing the instrument for which we are recording data. For example, </w:t>
      </w:r>
      <w:r w:rsidR="001B544C" w:rsidRPr="00524A62">
        <w:rPr>
          <w:rFonts w:cstheme="minorHAnsi"/>
          <w:lang w:val="en-US" w:eastAsia="en-IN"/>
        </w:rPr>
        <w:t>solar panel grants might</w:t>
      </w:r>
      <w:r w:rsidRPr="00524A62">
        <w:rPr>
          <w:rFonts w:cstheme="minorHAnsi"/>
          <w:lang w:val="en-US" w:eastAsia="en-IN"/>
        </w:rPr>
        <w:t xml:space="preserve"> apply to “new”</w:t>
      </w:r>
      <w:r w:rsidR="005817A0">
        <w:rPr>
          <w:rFonts w:cstheme="minorHAnsi"/>
          <w:lang w:val="en-US" w:eastAsia="en-IN"/>
        </w:rPr>
        <w:t xml:space="preserve"> installations and </w:t>
      </w:r>
      <w:r w:rsidRPr="00524A62">
        <w:rPr>
          <w:rFonts w:cstheme="minorHAnsi"/>
          <w:lang w:val="en-US" w:eastAsia="en-IN"/>
        </w:rPr>
        <w:t xml:space="preserve">will include a definition of what is “new” (purchased within some date range). An updated policy document might have a different date range because it is published a year later, but it has the same exact </w:t>
      </w:r>
      <w:r w:rsidR="0044289B" w:rsidRPr="00524A62">
        <w:rPr>
          <w:rFonts w:cstheme="minorHAnsi"/>
          <w:lang w:val="en-US" w:eastAsia="en-IN"/>
        </w:rPr>
        <w:t>grant</w:t>
      </w:r>
      <w:r w:rsidRPr="00524A62">
        <w:rPr>
          <w:rFonts w:cstheme="minorHAnsi"/>
          <w:lang w:val="en-US" w:eastAsia="en-IN"/>
        </w:rPr>
        <w:t xml:space="preserve"> amount and effect. As long as the policy instruments themselves do not change, such observations are recorded as “no”. </w:t>
      </w:r>
    </w:p>
    <w:p w14:paraId="7C30F1FD" w14:textId="77777777" w:rsidR="0049018D" w:rsidRPr="00524A62" w:rsidRDefault="0049018D" w:rsidP="0049018D">
      <w:pPr>
        <w:rPr>
          <w:rFonts w:cstheme="minorHAnsi"/>
          <w:lang w:val="en-US" w:eastAsia="en-IN"/>
        </w:rPr>
      </w:pPr>
      <w:r w:rsidRPr="00524A62">
        <w:rPr>
          <w:rFonts w:cstheme="minorHAnsi"/>
          <w:lang w:val="en-US" w:eastAsia="en-IN"/>
        </w:rPr>
        <w:t>We do not register policy changes that do not affect any of the variables in the dataset.</w:t>
      </w:r>
    </w:p>
    <w:p w14:paraId="3767D789" w14:textId="77777777" w:rsidR="00531055" w:rsidRPr="00551268" w:rsidRDefault="00531055" w:rsidP="00531055">
      <w:pPr>
        <w:pStyle w:val="Caption"/>
        <w:rPr>
          <w:rFonts w:cstheme="minorHAnsi"/>
          <w:lang w:val="en-US" w:eastAsia="en-IN"/>
        </w:rPr>
      </w:pPr>
      <w:bookmarkStart w:id="19" w:name="_Ref191461274"/>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7</w:t>
      </w:r>
      <w:r w:rsidRPr="00551268">
        <w:rPr>
          <w:noProof/>
          <w:lang w:val="en-US"/>
        </w:rPr>
        <w:fldChar w:fldCharType="end"/>
      </w:r>
      <w:bookmarkEnd w:id="19"/>
      <w:r w:rsidRPr="00551268">
        <w:rPr>
          <w:lang w:val="en-US"/>
        </w:rPr>
        <w:t>: Summary of the policy change entries</w:t>
      </w:r>
    </w:p>
    <w:tbl>
      <w:tblPr>
        <w:tblStyle w:val="TableGrid"/>
        <w:tblW w:w="0" w:type="auto"/>
        <w:tblLook w:val="04A0" w:firstRow="1" w:lastRow="0" w:firstColumn="1" w:lastColumn="0" w:noHBand="0" w:noVBand="1"/>
      </w:tblPr>
      <w:tblGrid>
        <w:gridCol w:w="2461"/>
        <w:gridCol w:w="2657"/>
        <w:gridCol w:w="3893"/>
      </w:tblGrid>
      <w:tr w:rsidR="0049018D" w:rsidRPr="00524A62" w14:paraId="57CA45F3" w14:textId="77777777" w:rsidTr="0005606D">
        <w:trPr>
          <w:trHeight w:val="114"/>
        </w:trPr>
        <w:tc>
          <w:tcPr>
            <w:tcW w:w="2461" w:type="dxa"/>
            <w:noWrap/>
          </w:tcPr>
          <w:p w14:paraId="7B50ABC3" w14:textId="77777777" w:rsidR="0049018D" w:rsidRPr="00524A62" w:rsidRDefault="0049018D" w:rsidP="0005606D">
            <w:pPr>
              <w:rPr>
                <w:rFonts w:cstheme="minorHAnsi"/>
                <w:lang w:val="en-US" w:eastAsia="en-IN"/>
              </w:rPr>
            </w:pPr>
            <w:r w:rsidRPr="00524A62">
              <w:rPr>
                <w:rFonts w:cstheme="minorHAnsi"/>
                <w:b/>
                <w:bCs/>
                <w:lang w:val="en-US" w:eastAsia="en-IN"/>
              </w:rPr>
              <w:lastRenderedPageBreak/>
              <w:t>Variable name</w:t>
            </w:r>
          </w:p>
        </w:tc>
        <w:tc>
          <w:tcPr>
            <w:tcW w:w="2657" w:type="dxa"/>
            <w:noWrap/>
          </w:tcPr>
          <w:p w14:paraId="60DA61EE" w14:textId="77777777" w:rsidR="0049018D" w:rsidRPr="00524A62" w:rsidRDefault="0049018D" w:rsidP="0005606D">
            <w:pPr>
              <w:rPr>
                <w:rFonts w:cstheme="minorHAnsi"/>
                <w:lang w:val="en-US" w:eastAsia="en-IN"/>
              </w:rPr>
            </w:pPr>
            <w:r w:rsidRPr="00524A62">
              <w:rPr>
                <w:rFonts w:cstheme="minorHAnsi"/>
                <w:b/>
                <w:bCs/>
                <w:lang w:val="en-US" w:eastAsia="en-IN"/>
              </w:rPr>
              <w:t>Description</w:t>
            </w:r>
          </w:p>
        </w:tc>
        <w:tc>
          <w:tcPr>
            <w:tcW w:w="3893" w:type="dxa"/>
          </w:tcPr>
          <w:p w14:paraId="34EBDEAC" w14:textId="77777777" w:rsidR="0049018D" w:rsidRPr="00524A62" w:rsidRDefault="0049018D" w:rsidP="0005606D">
            <w:pPr>
              <w:rPr>
                <w:rFonts w:cstheme="minorHAnsi"/>
                <w:lang w:val="en-US" w:eastAsia="en-IN"/>
              </w:rPr>
            </w:pPr>
            <w:r w:rsidRPr="00524A62">
              <w:rPr>
                <w:rFonts w:cstheme="minorHAnsi"/>
                <w:b/>
                <w:bCs/>
                <w:lang w:val="en-US" w:eastAsia="en-IN"/>
              </w:rPr>
              <w:t>Values</w:t>
            </w:r>
          </w:p>
        </w:tc>
      </w:tr>
      <w:tr w:rsidR="0049018D" w:rsidRPr="00524A62" w14:paraId="497EE89D" w14:textId="77777777" w:rsidTr="0005606D">
        <w:trPr>
          <w:trHeight w:val="114"/>
        </w:trPr>
        <w:tc>
          <w:tcPr>
            <w:tcW w:w="2461" w:type="dxa"/>
            <w:noWrap/>
            <w:hideMark/>
          </w:tcPr>
          <w:p w14:paraId="05EA507A" w14:textId="77777777" w:rsidR="0049018D" w:rsidRPr="00524A62" w:rsidRDefault="0049018D" w:rsidP="0005606D">
            <w:pPr>
              <w:rPr>
                <w:rFonts w:cstheme="minorHAnsi"/>
                <w:lang w:val="en-US" w:eastAsia="en-IN"/>
              </w:rPr>
            </w:pPr>
            <w:r w:rsidRPr="00524A62">
              <w:rPr>
                <w:rFonts w:cstheme="minorHAnsi"/>
                <w:lang w:val="en-US" w:eastAsia="en-IN"/>
              </w:rPr>
              <w:t>policy_changed</w:t>
            </w:r>
          </w:p>
        </w:tc>
        <w:tc>
          <w:tcPr>
            <w:tcW w:w="2657" w:type="dxa"/>
            <w:noWrap/>
          </w:tcPr>
          <w:p w14:paraId="091DF998" w14:textId="77777777" w:rsidR="0049018D" w:rsidRPr="00524A62" w:rsidRDefault="0049018D" w:rsidP="0005606D">
            <w:pPr>
              <w:rPr>
                <w:rFonts w:cstheme="minorHAnsi"/>
                <w:lang w:val="en-US" w:eastAsia="en-IN"/>
              </w:rPr>
            </w:pPr>
            <w:r w:rsidRPr="00524A62">
              <w:rPr>
                <w:rFonts w:cstheme="minorHAnsi"/>
                <w:lang w:val="en-US" w:eastAsia="en-IN"/>
              </w:rPr>
              <w:t>Whether the policy changed or not in a given year</w:t>
            </w:r>
          </w:p>
        </w:tc>
        <w:tc>
          <w:tcPr>
            <w:tcW w:w="3893" w:type="dxa"/>
          </w:tcPr>
          <w:p w14:paraId="5DFCE235" w14:textId="77777777" w:rsidR="0049018D" w:rsidRPr="00524A62" w:rsidRDefault="0049018D" w:rsidP="0005606D">
            <w:pPr>
              <w:rPr>
                <w:rFonts w:cstheme="minorHAnsi"/>
                <w:lang w:val="en-US" w:eastAsia="en-IN"/>
              </w:rPr>
            </w:pPr>
            <w:r w:rsidRPr="00524A62">
              <w:rPr>
                <w:rFonts w:cstheme="minorHAnsi"/>
                <w:lang w:val="en-US" w:eastAsia="en-IN"/>
              </w:rPr>
              <w:t>yes, no</w:t>
            </w:r>
          </w:p>
        </w:tc>
      </w:tr>
      <w:tr w:rsidR="0049018D" w:rsidRPr="008D4356" w14:paraId="55A189A2" w14:textId="77777777" w:rsidTr="0005606D">
        <w:trPr>
          <w:trHeight w:val="114"/>
        </w:trPr>
        <w:tc>
          <w:tcPr>
            <w:tcW w:w="2461" w:type="dxa"/>
            <w:noWrap/>
            <w:hideMark/>
          </w:tcPr>
          <w:p w14:paraId="24AEB550" w14:textId="77777777" w:rsidR="0049018D" w:rsidRPr="00524A62" w:rsidRDefault="0049018D" w:rsidP="0005606D">
            <w:pPr>
              <w:rPr>
                <w:rFonts w:cstheme="minorHAnsi"/>
                <w:lang w:val="en-US" w:eastAsia="en-IN"/>
              </w:rPr>
            </w:pPr>
            <w:r w:rsidRPr="00524A62">
              <w:rPr>
                <w:rFonts w:cstheme="minorHAnsi"/>
                <w:lang w:val="en-US" w:eastAsia="en-IN"/>
              </w:rPr>
              <w:t>policy_changed_detail</w:t>
            </w:r>
          </w:p>
        </w:tc>
        <w:tc>
          <w:tcPr>
            <w:tcW w:w="2657" w:type="dxa"/>
            <w:noWrap/>
          </w:tcPr>
          <w:p w14:paraId="5D6E9594" w14:textId="77777777" w:rsidR="0049018D" w:rsidRPr="00524A62" w:rsidRDefault="0049018D" w:rsidP="0005606D">
            <w:pPr>
              <w:rPr>
                <w:rFonts w:cstheme="minorHAnsi"/>
                <w:lang w:val="en-US" w:eastAsia="en-IN"/>
              </w:rPr>
            </w:pPr>
            <w:r w:rsidRPr="00524A62">
              <w:rPr>
                <w:rFonts w:cstheme="minorHAnsi"/>
                <w:lang w:val="en-US" w:eastAsia="en-IN"/>
              </w:rPr>
              <w:t>Note on how the policy changed</w:t>
            </w:r>
          </w:p>
        </w:tc>
        <w:tc>
          <w:tcPr>
            <w:tcW w:w="3893" w:type="dxa"/>
          </w:tcPr>
          <w:p w14:paraId="766D2E99" w14:textId="22B8905A" w:rsidR="0049018D" w:rsidRPr="00524A62" w:rsidRDefault="0049018D" w:rsidP="0005606D">
            <w:pPr>
              <w:rPr>
                <w:rFonts w:cstheme="minorHAnsi"/>
                <w:lang w:val="en-US" w:eastAsia="en-IN"/>
              </w:rPr>
            </w:pPr>
            <w:r w:rsidRPr="00524A62">
              <w:rPr>
                <w:rFonts w:cstheme="minorHAnsi"/>
                <w:lang w:val="en-US" w:eastAsia="en-IN"/>
              </w:rPr>
              <w:t xml:space="preserve">introduced, cancelled, </w:t>
            </w:r>
            <w:r w:rsidR="00442143" w:rsidRPr="00524A62">
              <w:rPr>
                <w:rFonts w:cstheme="minorHAnsi"/>
                <w:lang w:val="en-US" w:eastAsia="en-IN"/>
              </w:rPr>
              <w:t xml:space="preserve">ended, </w:t>
            </w:r>
            <w:r w:rsidR="00F80B92" w:rsidRPr="00524A62">
              <w:rPr>
                <w:rFonts w:cstheme="minorHAnsi"/>
                <w:lang w:val="en-US" w:eastAsia="en-IN"/>
              </w:rPr>
              <w:t>support level increased, support duration changed, cap increased</w:t>
            </w:r>
            <w:r w:rsidR="007D0C1D" w:rsidRPr="00524A62">
              <w:rPr>
                <w:rFonts w:cstheme="minorHAnsi"/>
                <w:lang w:val="en-US" w:eastAsia="en-IN"/>
              </w:rPr>
              <w:t>, etc.</w:t>
            </w:r>
          </w:p>
        </w:tc>
      </w:tr>
    </w:tbl>
    <w:p w14:paraId="3129F4FA" w14:textId="7242A986" w:rsidR="0049018D" w:rsidRPr="00524A62" w:rsidRDefault="0049018D" w:rsidP="0049018D">
      <w:pPr>
        <w:rPr>
          <w:rFonts w:cstheme="minorHAnsi"/>
          <w:lang w:val="en-US" w:eastAsia="en-IN"/>
        </w:rPr>
      </w:pPr>
    </w:p>
    <w:p w14:paraId="31A7EE97" w14:textId="5A2527FD" w:rsidR="0049018D" w:rsidRPr="00524A62" w:rsidRDefault="0049018D" w:rsidP="000378D8">
      <w:pPr>
        <w:pStyle w:val="Heading2"/>
        <w:rPr>
          <w:lang w:val="en-US" w:eastAsia="en-IN"/>
        </w:rPr>
      </w:pPr>
      <w:bookmarkStart w:id="20" w:name="_Toc219972871"/>
      <w:r w:rsidRPr="00524A62">
        <w:rPr>
          <w:lang w:val="en-US" w:eastAsia="en-IN"/>
        </w:rPr>
        <w:t xml:space="preserve">Sources, notes, and CPDB policy </w:t>
      </w:r>
      <w:r w:rsidRPr="00524A62">
        <w:rPr>
          <w:lang w:val="en-US"/>
        </w:rPr>
        <w:t>identifier</w:t>
      </w:r>
      <w:bookmarkEnd w:id="20"/>
    </w:p>
    <w:p w14:paraId="4C5663C8" w14:textId="6D1C573B" w:rsidR="005C0653" w:rsidRPr="00524A62" w:rsidRDefault="005C0653" w:rsidP="0049018D">
      <w:pPr>
        <w:rPr>
          <w:rFonts w:cstheme="minorHAnsi"/>
          <w:lang w:val="en-US"/>
        </w:rPr>
      </w:pPr>
      <w:r w:rsidRPr="00524A62">
        <w:rPr>
          <w:rFonts w:cstheme="minorHAnsi"/>
          <w:lang w:val="en-US"/>
        </w:rPr>
        <w:t>For data up until 2017/2018, we build from the policy dataset of Hafner &amp; Lilliestam. During our updating process, if we noticed a problem with their data, we record in the notes section how we updated it. For example, if I (Silvia Weko) fix an observation, I would write: “(#update S.W.: previous cap value recorded was govt budget, have corrected cap value and fixed dead link).”</w:t>
      </w:r>
    </w:p>
    <w:p w14:paraId="4523E96C" w14:textId="1AAB425D" w:rsidR="0049018D" w:rsidRPr="00524A62" w:rsidRDefault="0049018D" w:rsidP="0049018D">
      <w:pPr>
        <w:rPr>
          <w:rFonts w:cstheme="minorHAnsi"/>
          <w:lang w:val="en-US"/>
        </w:rPr>
      </w:pPr>
      <w:r w:rsidRPr="00524A62">
        <w:rPr>
          <w:rFonts w:cstheme="minorHAnsi"/>
          <w:lang w:val="en-US"/>
        </w:rPr>
        <w:t>From 2017/2018 onwards for renewables, we gather original data. To do so, we draw from various sources including Climate Policy Database (CPDB)</w:t>
      </w:r>
      <w:r w:rsidR="00C64D3A" w:rsidRPr="00524A62">
        <w:rPr>
          <w:rFonts w:cstheme="minorHAnsi"/>
          <w:lang w:val="en-US"/>
        </w:rPr>
        <w:t>,</w:t>
      </w:r>
      <w:r w:rsidR="00045F76" w:rsidRPr="00524A62">
        <w:rPr>
          <w:rFonts w:cstheme="minorHAnsi"/>
          <w:lang w:val="en-US"/>
        </w:rPr>
        <w:t xml:space="preserve"> Climate Policy Radar (CPR),</w:t>
      </w:r>
      <w:r w:rsidR="00C64D3A" w:rsidRPr="00524A62">
        <w:rPr>
          <w:rFonts w:cstheme="minorHAnsi"/>
          <w:lang w:val="en-US"/>
        </w:rPr>
        <w:t xml:space="preserve"> the IEA policies and measures dataset, information requested from the EU on energy support schemes, and more</w:t>
      </w:r>
      <w:r w:rsidRPr="00524A62">
        <w:rPr>
          <w:rFonts w:cstheme="minorHAnsi"/>
          <w:lang w:val="en-US"/>
        </w:rPr>
        <w:t>. In case we record a policy instrument from a policy identified in CPDB, we record CPDB’s policy identifier and policy title. The variable CPDB_identifier is the original CPDB identifier, plus a year value (</w:t>
      </w:r>
      <w:r w:rsidR="005A02AB" w:rsidRPr="00524A62">
        <w:rPr>
          <w:rFonts w:cstheme="minorHAnsi"/>
          <w:lang w:val="en-US"/>
        </w:rPr>
        <w:t>i.e.,</w:t>
      </w:r>
      <w:r w:rsidRPr="00524A62">
        <w:rPr>
          <w:rFonts w:cstheme="minorHAnsi"/>
          <w:lang w:val="en-US"/>
        </w:rPr>
        <w:t xml:space="preserve"> for CPDB policy 211000789 for the year 2016, this is recorded “211000789_16”). A blank space does not necessarily indicate that there is not an equivalent CPDB observation, as in some cases the information was from a different source and we did not check all observations for CPDB equivalency.  </w:t>
      </w:r>
    </w:p>
    <w:p w14:paraId="0DBEAA7B" w14:textId="6F4EBFB1" w:rsidR="0049018D" w:rsidRPr="00524A62" w:rsidRDefault="0049018D" w:rsidP="000378D8">
      <w:pPr>
        <w:pStyle w:val="Heading1"/>
        <w:rPr>
          <w:lang w:val="en-US" w:eastAsia="en-IN"/>
        </w:rPr>
      </w:pPr>
      <w:bookmarkStart w:id="21" w:name="_Toc219972872"/>
      <w:r w:rsidRPr="00524A62">
        <w:rPr>
          <w:lang w:val="en-US"/>
        </w:rPr>
        <w:t>Variables</w:t>
      </w:r>
      <w:r w:rsidRPr="00524A62">
        <w:rPr>
          <w:lang w:val="en-US" w:eastAsia="en-IN"/>
        </w:rPr>
        <w:t xml:space="preserve"> common for most policy </w:t>
      </w:r>
      <w:r w:rsidRPr="00524A62">
        <w:rPr>
          <w:lang w:val="en-US"/>
        </w:rPr>
        <w:t>instruments</w:t>
      </w:r>
      <w:r w:rsidRPr="00524A62">
        <w:rPr>
          <w:lang w:val="en-US" w:eastAsia="en-IN"/>
        </w:rPr>
        <w:t>: support level and conditions</w:t>
      </w:r>
      <w:bookmarkEnd w:id="21"/>
    </w:p>
    <w:p w14:paraId="669EE6C8" w14:textId="1601CCAB" w:rsidR="0049018D" w:rsidRPr="00524A62" w:rsidRDefault="0049018D" w:rsidP="000378D8">
      <w:pPr>
        <w:pStyle w:val="Heading2"/>
        <w:rPr>
          <w:lang w:val="en-US" w:eastAsia="en-IN"/>
        </w:rPr>
      </w:pPr>
      <w:bookmarkStart w:id="22" w:name="_Toc219972873"/>
      <w:r w:rsidRPr="00524A62">
        <w:rPr>
          <w:lang w:val="en-US" w:eastAsia="en-IN"/>
        </w:rPr>
        <w:t xml:space="preserve">Support level and </w:t>
      </w:r>
      <w:r w:rsidRPr="00524A62">
        <w:rPr>
          <w:lang w:val="en-US"/>
        </w:rPr>
        <w:t>conditions</w:t>
      </w:r>
      <w:bookmarkEnd w:id="22"/>
    </w:p>
    <w:p w14:paraId="79086609" w14:textId="36E35A22" w:rsidR="0049018D" w:rsidRPr="00524A62" w:rsidRDefault="0049018D" w:rsidP="0049018D">
      <w:pPr>
        <w:rPr>
          <w:rFonts w:cstheme="minorHAnsi"/>
          <w:lang w:val="en-US"/>
        </w:rPr>
      </w:pPr>
      <w:r w:rsidRPr="00524A62">
        <w:rPr>
          <w:rFonts w:cstheme="minorHAnsi"/>
          <w:lang w:val="en-US"/>
        </w:rPr>
        <w:t>Many policies have conditions about what support levels different technologies are eligible for. For example, some countries only provide FITs for installations under a certain size; or they have different rates for smaller or larger businesses. We illustrate how these conditions work with 3 cases.</w:t>
      </w:r>
    </w:p>
    <w:p w14:paraId="523F703D" w14:textId="013B95C5" w:rsidR="0049018D" w:rsidRDefault="0049018D" w:rsidP="0049018D">
      <w:pPr>
        <w:rPr>
          <w:rFonts w:cstheme="minorHAnsi"/>
          <w:lang w:val="en-US"/>
        </w:rPr>
      </w:pPr>
      <w:r w:rsidRPr="00524A62">
        <w:rPr>
          <w:rFonts w:cstheme="minorHAnsi"/>
          <w:b/>
          <w:bCs/>
          <w:lang w:val="en-US"/>
        </w:rPr>
        <w:t xml:space="preserve">Case 1: One condition. </w:t>
      </w:r>
      <w:r w:rsidRPr="00524A62">
        <w:rPr>
          <w:rFonts w:cstheme="minorHAnsi"/>
          <w:lang w:val="en-US"/>
        </w:rPr>
        <w:t>A country will only grant its FIT of EUR 0.06 per kW to solar PV installations up to 100 kW in size. This would be recorded as follows:</w:t>
      </w:r>
    </w:p>
    <w:p w14:paraId="65ED546C" w14:textId="56E4C647" w:rsidR="00BB02C6" w:rsidRPr="00524A62" w:rsidRDefault="00BB02C6" w:rsidP="00BB02C6">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8</w:t>
      </w:r>
      <w:r w:rsidRPr="00551268">
        <w:rPr>
          <w:noProof/>
          <w:lang w:val="en-US"/>
        </w:rPr>
        <w:fldChar w:fldCharType="end"/>
      </w:r>
      <w:r w:rsidRPr="00551268">
        <w:rPr>
          <w:lang w:val="en-US"/>
        </w:rPr>
        <w:t xml:space="preserve">: </w:t>
      </w:r>
      <w:r>
        <w:rPr>
          <w:lang w:val="en-US"/>
        </w:rPr>
        <w:t>Recording instruments with one condition</w:t>
      </w:r>
    </w:p>
    <w:tbl>
      <w:tblPr>
        <w:tblStyle w:val="TableGrid"/>
        <w:tblW w:w="5000" w:type="pct"/>
        <w:tblLook w:val="04A0" w:firstRow="1" w:lastRow="0" w:firstColumn="1" w:lastColumn="0" w:noHBand="0" w:noVBand="1"/>
      </w:tblPr>
      <w:tblGrid>
        <w:gridCol w:w="1698"/>
        <w:gridCol w:w="1750"/>
        <w:gridCol w:w="1730"/>
        <w:gridCol w:w="849"/>
        <w:gridCol w:w="1727"/>
        <w:gridCol w:w="1308"/>
      </w:tblGrid>
      <w:tr w:rsidR="0049018D" w:rsidRPr="00524A62" w14:paraId="15BC0956" w14:textId="77777777" w:rsidTr="00EF0B89">
        <w:trPr>
          <w:trHeight w:val="110"/>
        </w:trPr>
        <w:tc>
          <w:tcPr>
            <w:tcW w:w="947" w:type="pct"/>
          </w:tcPr>
          <w:p w14:paraId="66C1AF7F" w14:textId="3F71696E" w:rsidR="0049018D" w:rsidRPr="00524A62" w:rsidRDefault="002A4B28" w:rsidP="0005606D">
            <w:pPr>
              <w:rPr>
                <w:rFonts w:cstheme="minorHAnsi"/>
                <w:lang w:val="en-US"/>
              </w:rPr>
            </w:pPr>
            <w:r w:rsidRPr="00524A62">
              <w:rPr>
                <w:rFonts w:cstheme="minorHAnsi"/>
                <w:lang w:val="en-US"/>
              </w:rPr>
              <w:t>t</w:t>
            </w:r>
            <w:r w:rsidR="00AC375E" w:rsidRPr="00524A62">
              <w:rPr>
                <w:rFonts w:cstheme="minorHAnsi"/>
                <w:lang w:val="en-US"/>
              </w:rPr>
              <w:t>echnology_type</w:t>
            </w:r>
          </w:p>
        </w:tc>
        <w:tc>
          <w:tcPr>
            <w:tcW w:w="970" w:type="pct"/>
          </w:tcPr>
          <w:p w14:paraId="2F768516" w14:textId="32252414" w:rsidR="0049018D" w:rsidRPr="00524A62" w:rsidRDefault="002A4B28" w:rsidP="0005606D">
            <w:pPr>
              <w:rPr>
                <w:rFonts w:cstheme="minorHAnsi"/>
                <w:lang w:val="en-US"/>
              </w:rPr>
            </w:pPr>
            <w:r w:rsidRPr="00524A62">
              <w:rPr>
                <w:rFonts w:cstheme="minorHAnsi"/>
                <w:lang w:val="en-US"/>
              </w:rPr>
              <w:t>condition_</w:t>
            </w:r>
            <w:r w:rsidR="0049018D" w:rsidRPr="00524A62">
              <w:rPr>
                <w:rFonts w:cstheme="minorHAnsi"/>
                <w:lang w:val="en-US"/>
              </w:rPr>
              <w:t>max_1</w:t>
            </w:r>
          </w:p>
        </w:tc>
        <w:tc>
          <w:tcPr>
            <w:tcW w:w="959" w:type="pct"/>
          </w:tcPr>
          <w:p w14:paraId="70DC70AF" w14:textId="715E4FA0" w:rsidR="0049018D" w:rsidRPr="00524A62" w:rsidRDefault="002A4B28" w:rsidP="0005606D">
            <w:pPr>
              <w:rPr>
                <w:rFonts w:cstheme="minorHAnsi"/>
                <w:lang w:val="en-US"/>
              </w:rPr>
            </w:pPr>
            <w:r w:rsidRPr="00524A62">
              <w:rPr>
                <w:rFonts w:cstheme="minorHAnsi"/>
                <w:lang w:val="en-US"/>
              </w:rPr>
              <w:t>condition_</w:t>
            </w:r>
            <w:r w:rsidR="0049018D" w:rsidRPr="00524A62">
              <w:rPr>
                <w:rFonts w:cstheme="minorHAnsi"/>
                <w:lang w:val="en-US"/>
              </w:rPr>
              <w:t>unit_1</w:t>
            </w:r>
          </w:p>
        </w:tc>
        <w:tc>
          <w:tcPr>
            <w:tcW w:w="464" w:type="pct"/>
          </w:tcPr>
          <w:p w14:paraId="53DBE5A8" w14:textId="77777777" w:rsidR="0049018D" w:rsidRPr="00524A62" w:rsidRDefault="0049018D" w:rsidP="0005606D">
            <w:pPr>
              <w:rPr>
                <w:rFonts w:cstheme="minorHAnsi"/>
                <w:lang w:val="en-US"/>
              </w:rPr>
            </w:pPr>
            <w:r w:rsidRPr="00524A62">
              <w:rPr>
                <w:rFonts w:cstheme="minorHAnsi"/>
                <w:lang w:val="en-US"/>
              </w:rPr>
              <w:t>level_1</w:t>
            </w:r>
          </w:p>
        </w:tc>
        <w:tc>
          <w:tcPr>
            <w:tcW w:w="944" w:type="pct"/>
          </w:tcPr>
          <w:p w14:paraId="36063014" w14:textId="77777777" w:rsidR="0049018D" w:rsidRPr="00524A62" w:rsidRDefault="0049018D" w:rsidP="0005606D">
            <w:pPr>
              <w:rPr>
                <w:rFonts w:cstheme="minorHAnsi"/>
                <w:lang w:val="en-US"/>
              </w:rPr>
            </w:pPr>
            <w:r w:rsidRPr="00524A62">
              <w:rPr>
                <w:rFonts w:cstheme="minorHAnsi"/>
                <w:lang w:val="en-US"/>
              </w:rPr>
              <w:t>level_1_currency</w:t>
            </w:r>
          </w:p>
        </w:tc>
        <w:tc>
          <w:tcPr>
            <w:tcW w:w="715" w:type="pct"/>
          </w:tcPr>
          <w:p w14:paraId="266F4523" w14:textId="77777777" w:rsidR="0049018D" w:rsidRPr="00524A62" w:rsidRDefault="0049018D" w:rsidP="0005606D">
            <w:pPr>
              <w:rPr>
                <w:rFonts w:cstheme="minorHAnsi"/>
                <w:lang w:val="en-US"/>
              </w:rPr>
            </w:pPr>
            <w:r w:rsidRPr="00524A62">
              <w:rPr>
                <w:rFonts w:cstheme="minorHAnsi"/>
                <w:lang w:val="en-US"/>
              </w:rPr>
              <w:t>level_1_unit</w:t>
            </w:r>
          </w:p>
        </w:tc>
      </w:tr>
      <w:tr w:rsidR="0049018D" w:rsidRPr="00524A62" w14:paraId="23DDF31F" w14:textId="77777777" w:rsidTr="00EF0B89">
        <w:trPr>
          <w:trHeight w:val="216"/>
        </w:trPr>
        <w:tc>
          <w:tcPr>
            <w:tcW w:w="947" w:type="pct"/>
          </w:tcPr>
          <w:p w14:paraId="69BEF5DE" w14:textId="77777777" w:rsidR="0049018D" w:rsidRPr="00524A62" w:rsidRDefault="0049018D" w:rsidP="0005606D">
            <w:pPr>
              <w:rPr>
                <w:rFonts w:cstheme="minorHAnsi"/>
                <w:lang w:val="en-US"/>
              </w:rPr>
            </w:pPr>
            <w:r w:rsidRPr="00524A62">
              <w:rPr>
                <w:rFonts w:cstheme="minorHAnsi"/>
                <w:lang w:val="en-US"/>
              </w:rPr>
              <w:t>solar PV</w:t>
            </w:r>
          </w:p>
        </w:tc>
        <w:tc>
          <w:tcPr>
            <w:tcW w:w="970" w:type="pct"/>
          </w:tcPr>
          <w:p w14:paraId="5DEB2661" w14:textId="77777777" w:rsidR="0049018D" w:rsidRPr="00524A62" w:rsidRDefault="0049018D" w:rsidP="0005606D">
            <w:pPr>
              <w:rPr>
                <w:rFonts w:cstheme="minorHAnsi"/>
                <w:lang w:val="en-US"/>
              </w:rPr>
            </w:pPr>
            <w:r w:rsidRPr="00524A62">
              <w:rPr>
                <w:rFonts w:cstheme="minorHAnsi"/>
                <w:lang w:val="en-US"/>
              </w:rPr>
              <w:t>100</w:t>
            </w:r>
          </w:p>
        </w:tc>
        <w:tc>
          <w:tcPr>
            <w:tcW w:w="959" w:type="pct"/>
          </w:tcPr>
          <w:p w14:paraId="212C4430" w14:textId="77777777" w:rsidR="0049018D" w:rsidRPr="00524A62" w:rsidRDefault="0049018D" w:rsidP="0005606D">
            <w:pPr>
              <w:rPr>
                <w:rFonts w:cstheme="minorHAnsi"/>
                <w:lang w:val="en-US"/>
              </w:rPr>
            </w:pPr>
            <w:r w:rsidRPr="00524A62">
              <w:rPr>
                <w:rFonts w:cstheme="minorHAnsi"/>
                <w:lang w:val="en-US"/>
              </w:rPr>
              <w:t>kW</w:t>
            </w:r>
          </w:p>
        </w:tc>
        <w:tc>
          <w:tcPr>
            <w:tcW w:w="464" w:type="pct"/>
          </w:tcPr>
          <w:p w14:paraId="3A409CF6" w14:textId="77777777" w:rsidR="0049018D" w:rsidRPr="00524A62" w:rsidRDefault="0049018D" w:rsidP="0005606D">
            <w:pPr>
              <w:rPr>
                <w:rFonts w:cstheme="minorHAnsi"/>
                <w:lang w:val="en-US"/>
              </w:rPr>
            </w:pPr>
            <w:r w:rsidRPr="00524A62">
              <w:rPr>
                <w:rFonts w:cstheme="minorHAnsi"/>
                <w:lang w:val="en-US"/>
              </w:rPr>
              <w:t>0.06</w:t>
            </w:r>
          </w:p>
        </w:tc>
        <w:tc>
          <w:tcPr>
            <w:tcW w:w="944" w:type="pct"/>
          </w:tcPr>
          <w:p w14:paraId="5BD253B2" w14:textId="77777777" w:rsidR="0049018D" w:rsidRPr="00524A62" w:rsidRDefault="0049018D" w:rsidP="0005606D">
            <w:pPr>
              <w:rPr>
                <w:rFonts w:cstheme="minorHAnsi"/>
                <w:lang w:val="en-US"/>
              </w:rPr>
            </w:pPr>
            <w:r w:rsidRPr="00524A62">
              <w:rPr>
                <w:rFonts w:cstheme="minorHAnsi"/>
                <w:lang w:val="en-US"/>
              </w:rPr>
              <w:t>EUR</w:t>
            </w:r>
          </w:p>
        </w:tc>
        <w:tc>
          <w:tcPr>
            <w:tcW w:w="715" w:type="pct"/>
          </w:tcPr>
          <w:p w14:paraId="2EE1B4B3" w14:textId="77777777" w:rsidR="0049018D" w:rsidRPr="00524A62" w:rsidRDefault="0049018D" w:rsidP="0005606D">
            <w:pPr>
              <w:rPr>
                <w:rFonts w:cstheme="minorHAnsi"/>
                <w:lang w:val="en-US"/>
              </w:rPr>
            </w:pPr>
            <w:r w:rsidRPr="00524A62">
              <w:rPr>
                <w:rFonts w:cstheme="minorHAnsi"/>
                <w:lang w:val="en-US"/>
              </w:rPr>
              <w:t>kW</w:t>
            </w:r>
          </w:p>
        </w:tc>
      </w:tr>
    </w:tbl>
    <w:p w14:paraId="14C4B9AA" w14:textId="77777777" w:rsidR="0049018D" w:rsidRPr="00524A62" w:rsidRDefault="0049018D" w:rsidP="0049018D">
      <w:pPr>
        <w:rPr>
          <w:rFonts w:cstheme="minorHAnsi"/>
          <w:lang w:val="en-US"/>
        </w:rPr>
      </w:pPr>
    </w:p>
    <w:p w14:paraId="5A137A95" w14:textId="4AB54441" w:rsidR="0049018D" w:rsidRDefault="0049018D" w:rsidP="0049018D">
      <w:pPr>
        <w:rPr>
          <w:rFonts w:cstheme="minorHAnsi"/>
          <w:lang w:val="en-US"/>
        </w:rPr>
      </w:pPr>
      <w:r w:rsidRPr="00524A62">
        <w:rPr>
          <w:rFonts w:cstheme="minorHAnsi"/>
          <w:b/>
          <w:bCs/>
          <w:lang w:val="en-US"/>
        </w:rPr>
        <w:t xml:space="preserve">Case 2: Different group conditions. </w:t>
      </w:r>
      <w:r w:rsidRPr="00524A62">
        <w:rPr>
          <w:rFonts w:cstheme="minorHAnsi"/>
          <w:lang w:val="en-US"/>
        </w:rPr>
        <w:t>A country has multiple conditions, so that different groups receiving different levels of support. For example, a country may have many possible levels of FIT for different sizes of installations: EUR 0.06 for installations under 100 kW, or EUR 0.04 for installations between 100-300 kW, etc. This would be recorded as follows:</w:t>
      </w:r>
    </w:p>
    <w:p w14:paraId="27084AC8" w14:textId="602F340D" w:rsidR="00BB02C6" w:rsidRPr="00524A62" w:rsidRDefault="00BB02C6" w:rsidP="00BB02C6">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9</w:t>
      </w:r>
      <w:r w:rsidRPr="00551268">
        <w:rPr>
          <w:noProof/>
          <w:lang w:val="en-US"/>
        </w:rPr>
        <w:fldChar w:fldCharType="end"/>
      </w:r>
      <w:r w:rsidRPr="00551268">
        <w:rPr>
          <w:lang w:val="en-US"/>
        </w:rPr>
        <w:t xml:space="preserve">: </w:t>
      </w:r>
      <w:r>
        <w:rPr>
          <w:lang w:val="en-US"/>
        </w:rPr>
        <w:t>Recording instruments with multiple conditions for different groups</w:t>
      </w:r>
    </w:p>
    <w:tbl>
      <w:tblPr>
        <w:tblStyle w:val="TableGrid"/>
        <w:tblW w:w="5000" w:type="pct"/>
        <w:tblLook w:val="04A0" w:firstRow="1" w:lastRow="0" w:firstColumn="1" w:lastColumn="0" w:noHBand="0" w:noVBand="1"/>
      </w:tblPr>
      <w:tblGrid>
        <w:gridCol w:w="964"/>
        <w:gridCol w:w="982"/>
        <w:gridCol w:w="972"/>
        <w:gridCol w:w="424"/>
        <w:gridCol w:w="862"/>
        <w:gridCol w:w="653"/>
        <w:gridCol w:w="965"/>
        <w:gridCol w:w="982"/>
        <w:gridCol w:w="972"/>
        <w:gridCol w:w="424"/>
        <w:gridCol w:w="862"/>
      </w:tblGrid>
      <w:tr w:rsidR="0049018D" w:rsidRPr="00524A62" w14:paraId="40DF6330" w14:textId="77777777" w:rsidTr="00EF0B89">
        <w:trPr>
          <w:trHeight w:val="166"/>
        </w:trPr>
        <w:tc>
          <w:tcPr>
            <w:tcW w:w="535" w:type="pct"/>
          </w:tcPr>
          <w:p w14:paraId="38529F70" w14:textId="30A59773" w:rsidR="0049018D" w:rsidRPr="00524A62" w:rsidRDefault="00A21A6A"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condition_</w:t>
            </w:r>
            <w:r w:rsidR="0049018D" w:rsidRPr="00524A62">
              <w:rPr>
                <w:rFonts w:eastAsia="Times New Roman" w:cstheme="minorHAnsi"/>
                <w:color w:val="000000"/>
                <w:sz w:val="16"/>
                <w:szCs w:val="16"/>
                <w:lang w:val="en-US" w:eastAsia="en-IN"/>
              </w:rPr>
              <w:t>min_1</w:t>
            </w:r>
          </w:p>
        </w:tc>
        <w:tc>
          <w:tcPr>
            <w:tcW w:w="544" w:type="pct"/>
          </w:tcPr>
          <w:p w14:paraId="54BB6873" w14:textId="07EB0C5C" w:rsidR="0049018D" w:rsidRPr="00524A62" w:rsidRDefault="00A21A6A"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condition_</w:t>
            </w:r>
            <w:r w:rsidR="0049018D" w:rsidRPr="00524A62">
              <w:rPr>
                <w:rFonts w:eastAsia="Times New Roman" w:cstheme="minorHAnsi"/>
                <w:color w:val="000000"/>
                <w:sz w:val="16"/>
                <w:szCs w:val="16"/>
                <w:lang w:val="en-US" w:eastAsia="en-IN"/>
              </w:rPr>
              <w:t>max_1</w:t>
            </w:r>
          </w:p>
        </w:tc>
        <w:tc>
          <w:tcPr>
            <w:tcW w:w="404" w:type="pct"/>
          </w:tcPr>
          <w:p w14:paraId="34A2D8AC" w14:textId="1414F2F2" w:rsidR="0049018D" w:rsidRPr="00524A62" w:rsidRDefault="00A21A6A"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condition_</w:t>
            </w:r>
            <w:r w:rsidR="0049018D" w:rsidRPr="00524A62">
              <w:rPr>
                <w:rFonts w:eastAsia="Times New Roman" w:cstheme="minorHAnsi"/>
                <w:color w:val="000000"/>
                <w:sz w:val="16"/>
                <w:szCs w:val="16"/>
                <w:lang w:val="en-US" w:eastAsia="en-IN"/>
              </w:rPr>
              <w:t>unit_1</w:t>
            </w:r>
          </w:p>
        </w:tc>
        <w:tc>
          <w:tcPr>
            <w:tcW w:w="366" w:type="pct"/>
          </w:tcPr>
          <w:p w14:paraId="665F109B"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lvl_1</w:t>
            </w:r>
          </w:p>
        </w:tc>
        <w:tc>
          <w:tcPr>
            <w:tcW w:w="472" w:type="pct"/>
          </w:tcPr>
          <w:p w14:paraId="680CE725"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lvl_1_currency</w:t>
            </w:r>
          </w:p>
        </w:tc>
        <w:tc>
          <w:tcPr>
            <w:tcW w:w="358" w:type="pct"/>
          </w:tcPr>
          <w:p w14:paraId="520C524D"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lvl_1_unit</w:t>
            </w:r>
          </w:p>
        </w:tc>
        <w:tc>
          <w:tcPr>
            <w:tcW w:w="535" w:type="pct"/>
          </w:tcPr>
          <w:p w14:paraId="3DBE4856" w14:textId="0DB93C51" w:rsidR="0049018D" w:rsidRPr="00524A62" w:rsidRDefault="00A21A6A"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condition_</w:t>
            </w:r>
            <w:r w:rsidR="0049018D" w:rsidRPr="00524A62">
              <w:rPr>
                <w:rFonts w:eastAsia="Times New Roman" w:cstheme="minorHAnsi"/>
                <w:color w:val="000000"/>
                <w:sz w:val="16"/>
                <w:szCs w:val="16"/>
                <w:lang w:val="en-US" w:eastAsia="en-IN"/>
              </w:rPr>
              <w:t>min_2</w:t>
            </w:r>
          </w:p>
        </w:tc>
        <w:tc>
          <w:tcPr>
            <w:tcW w:w="543" w:type="pct"/>
          </w:tcPr>
          <w:p w14:paraId="47E9E874" w14:textId="6FE8F2C1" w:rsidR="0049018D" w:rsidRPr="00524A62" w:rsidRDefault="00A21A6A"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condition_</w:t>
            </w:r>
            <w:r w:rsidR="0049018D" w:rsidRPr="00524A62">
              <w:rPr>
                <w:rFonts w:eastAsia="Times New Roman" w:cstheme="minorHAnsi"/>
                <w:color w:val="000000"/>
                <w:sz w:val="16"/>
                <w:szCs w:val="16"/>
                <w:lang w:val="en-US" w:eastAsia="en-IN"/>
              </w:rPr>
              <w:t>max_2</w:t>
            </w:r>
          </w:p>
        </w:tc>
        <w:tc>
          <w:tcPr>
            <w:tcW w:w="538" w:type="pct"/>
          </w:tcPr>
          <w:p w14:paraId="7387827A" w14:textId="14A76452" w:rsidR="0049018D" w:rsidRPr="00524A62" w:rsidRDefault="00A21A6A"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condition_</w:t>
            </w:r>
            <w:r w:rsidR="0049018D" w:rsidRPr="00524A62">
              <w:rPr>
                <w:rFonts w:eastAsia="Times New Roman" w:cstheme="minorHAnsi"/>
                <w:color w:val="000000"/>
                <w:sz w:val="16"/>
                <w:szCs w:val="16"/>
                <w:lang w:val="en-US" w:eastAsia="en-IN"/>
              </w:rPr>
              <w:t>unit_2</w:t>
            </w:r>
          </w:p>
        </w:tc>
        <w:tc>
          <w:tcPr>
            <w:tcW w:w="233" w:type="pct"/>
          </w:tcPr>
          <w:p w14:paraId="30A58871"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lvl_2</w:t>
            </w:r>
          </w:p>
        </w:tc>
        <w:tc>
          <w:tcPr>
            <w:tcW w:w="472" w:type="pct"/>
          </w:tcPr>
          <w:p w14:paraId="59703649"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lvl_2_currency</w:t>
            </w:r>
          </w:p>
        </w:tc>
      </w:tr>
      <w:tr w:rsidR="0049018D" w:rsidRPr="00524A62" w14:paraId="14A4C7DC" w14:textId="77777777" w:rsidTr="00EF0B89">
        <w:trPr>
          <w:trHeight w:val="155"/>
        </w:trPr>
        <w:tc>
          <w:tcPr>
            <w:tcW w:w="535" w:type="pct"/>
          </w:tcPr>
          <w:p w14:paraId="54ED0C04"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NA</w:t>
            </w:r>
          </w:p>
        </w:tc>
        <w:tc>
          <w:tcPr>
            <w:tcW w:w="544" w:type="pct"/>
          </w:tcPr>
          <w:p w14:paraId="24F2DEA8"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100</w:t>
            </w:r>
          </w:p>
        </w:tc>
        <w:tc>
          <w:tcPr>
            <w:tcW w:w="404" w:type="pct"/>
          </w:tcPr>
          <w:p w14:paraId="14548769"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kW</w:t>
            </w:r>
          </w:p>
        </w:tc>
        <w:tc>
          <w:tcPr>
            <w:tcW w:w="366" w:type="pct"/>
          </w:tcPr>
          <w:p w14:paraId="09DB795A"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0.06</w:t>
            </w:r>
          </w:p>
        </w:tc>
        <w:tc>
          <w:tcPr>
            <w:tcW w:w="472" w:type="pct"/>
          </w:tcPr>
          <w:p w14:paraId="43CB19A2"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EUR</w:t>
            </w:r>
          </w:p>
        </w:tc>
        <w:tc>
          <w:tcPr>
            <w:tcW w:w="358" w:type="pct"/>
          </w:tcPr>
          <w:p w14:paraId="61A32E92"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kW</w:t>
            </w:r>
          </w:p>
        </w:tc>
        <w:tc>
          <w:tcPr>
            <w:tcW w:w="535" w:type="pct"/>
          </w:tcPr>
          <w:p w14:paraId="4C3E8542"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100</w:t>
            </w:r>
          </w:p>
        </w:tc>
        <w:tc>
          <w:tcPr>
            <w:tcW w:w="543" w:type="pct"/>
          </w:tcPr>
          <w:p w14:paraId="158B163D"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300</w:t>
            </w:r>
          </w:p>
        </w:tc>
        <w:tc>
          <w:tcPr>
            <w:tcW w:w="538" w:type="pct"/>
          </w:tcPr>
          <w:p w14:paraId="13E0CCCC"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kW</w:t>
            </w:r>
          </w:p>
        </w:tc>
        <w:tc>
          <w:tcPr>
            <w:tcW w:w="233" w:type="pct"/>
          </w:tcPr>
          <w:p w14:paraId="321D6F26"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0.04</w:t>
            </w:r>
          </w:p>
        </w:tc>
        <w:tc>
          <w:tcPr>
            <w:tcW w:w="472" w:type="pct"/>
          </w:tcPr>
          <w:p w14:paraId="2E3DD1C2"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EUR</w:t>
            </w:r>
          </w:p>
        </w:tc>
      </w:tr>
    </w:tbl>
    <w:p w14:paraId="0F017B02" w14:textId="77777777" w:rsidR="000D5B8B" w:rsidRPr="00524A62" w:rsidRDefault="000D5B8B" w:rsidP="000D5B8B">
      <w:pPr>
        <w:contextualSpacing/>
        <w:rPr>
          <w:rFonts w:cstheme="minorHAnsi"/>
          <w:lang w:val="en-US"/>
        </w:rPr>
      </w:pPr>
    </w:p>
    <w:p w14:paraId="43BED352" w14:textId="584C2636" w:rsidR="000D5B8B" w:rsidRPr="00524A62" w:rsidRDefault="000D5B8B" w:rsidP="0049018D">
      <w:pPr>
        <w:rPr>
          <w:rFonts w:cstheme="minorHAnsi"/>
          <w:lang w:val="en-US"/>
        </w:rPr>
      </w:pPr>
      <w:r w:rsidRPr="00524A62">
        <w:rPr>
          <w:rFonts w:cstheme="minorHAnsi"/>
          <w:b/>
          <w:bCs/>
          <w:lang w:val="en-US"/>
        </w:rPr>
        <w:lastRenderedPageBreak/>
        <w:t>NOTE:</w:t>
      </w:r>
      <w:r w:rsidRPr="00524A62">
        <w:rPr>
          <w:rFonts w:cstheme="minorHAnsi"/>
          <w:lang w:val="en-US"/>
        </w:rPr>
        <w:t xml:space="preserve"> For the variable </w:t>
      </w:r>
      <w:r w:rsidR="002A4B28" w:rsidRPr="00524A62">
        <w:rPr>
          <w:rFonts w:cstheme="minorHAnsi"/>
          <w:lang w:val="en-US"/>
        </w:rPr>
        <w:t>condition_</w:t>
      </w:r>
      <w:r w:rsidRPr="00524A62">
        <w:rPr>
          <w:rFonts w:cstheme="minorHAnsi"/>
          <w:lang w:val="en-US"/>
        </w:rPr>
        <w:t xml:space="preserve">max, an NA value may indicate that no upper limit applies. For example, if </w:t>
      </w:r>
      <w:r w:rsidR="002A4B28" w:rsidRPr="00524A62">
        <w:rPr>
          <w:rFonts w:cstheme="minorHAnsi"/>
          <w:lang w:val="en-US"/>
        </w:rPr>
        <w:t>condition_</w:t>
      </w:r>
      <w:r w:rsidRPr="00524A62">
        <w:rPr>
          <w:rFonts w:cstheme="minorHAnsi"/>
          <w:lang w:val="en-US"/>
        </w:rPr>
        <w:t xml:space="preserve">1 is between 20 and 30 kW, and </w:t>
      </w:r>
      <w:r w:rsidR="002A4B28" w:rsidRPr="00524A62">
        <w:rPr>
          <w:rFonts w:cstheme="minorHAnsi"/>
          <w:lang w:val="en-US"/>
        </w:rPr>
        <w:t>condition_</w:t>
      </w:r>
      <w:r w:rsidRPr="00524A62">
        <w:rPr>
          <w:rFonts w:cstheme="minorHAnsi"/>
          <w:lang w:val="en-US"/>
        </w:rPr>
        <w:t xml:space="preserve">2 has a minimum of 30 kW, then </w:t>
      </w:r>
      <w:r w:rsidR="002A4B28" w:rsidRPr="00524A62">
        <w:rPr>
          <w:rFonts w:cstheme="minorHAnsi"/>
          <w:lang w:val="en-US"/>
        </w:rPr>
        <w:t>condition_</w:t>
      </w:r>
      <w:r w:rsidRPr="00524A62">
        <w:rPr>
          <w:rFonts w:cstheme="minorHAnsi"/>
          <w:lang w:val="en-US"/>
        </w:rPr>
        <w:t>2_max is recorded as NA to indicate an open-ended (</w:t>
      </w:r>
      <w:r w:rsidR="005A02AB" w:rsidRPr="00524A62">
        <w:rPr>
          <w:rFonts w:cstheme="minorHAnsi"/>
          <w:lang w:val="en-US"/>
        </w:rPr>
        <w:t>i.e.,</w:t>
      </w:r>
      <w:r w:rsidRPr="00524A62">
        <w:rPr>
          <w:rFonts w:cstheme="minorHAnsi"/>
          <w:lang w:val="en-US"/>
        </w:rPr>
        <w:t xml:space="preserve"> unlimited) upper bound rather than missing information.</w:t>
      </w:r>
    </w:p>
    <w:p w14:paraId="1A0C99F3" w14:textId="12517748" w:rsidR="0049018D" w:rsidRPr="00524A62" w:rsidRDefault="0049018D" w:rsidP="0049018D">
      <w:pPr>
        <w:rPr>
          <w:rFonts w:cstheme="minorHAnsi"/>
          <w:lang w:val="en-US"/>
        </w:rPr>
      </w:pPr>
      <w:r w:rsidRPr="00524A62">
        <w:rPr>
          <w:rFonts w:cstheme="minorHAnsi"/>
          <w:b/>
          <w:bCs/>
          <w:lang w:val="en-US"/>
        </w:rPr>
        <w:t xml:space="preserve">Case 3: Multiple conditions. </w:t>
      </w:r>
      <w:r w:rsidRPr="00524A62">
        <w:rPr>
          <w:rFonts w:cstheme="minorHAnsi"/>
          <w:lang w:val="en-US"/>
        </w:rPr>
        <w:t xml:space="preserve">Another possibility is that to receive a </w:t>
      </w:r>
      <w:r w:rsidR="00C11751" w:rsidRPr="00524A62">
        <w:rPr>
          <w:rFonts w:cstheme="minorHAnsi"/>
          <w:lang w:val="en-US"/>
        </w:rPr>
        <w:t>grant</w:t>
      </w:r>
      <w:r w:rsidRPr="00524A62">
        <w:rPr>
          <w:rFonts w:cstheme="minorHAnsi"/>
          <w:lang w:val="en-US"/>
        </w:rPr>
        <w:t xml:space="preserve">, several different conditions must all be fulfilled.  Taking the example of </w:t>
      </w:r>
      <w:r w:rsidR="004673CE" w:rsidRPr="00524A62">
        <w:rPr>
          <w:rFonts w:cstheme="minorHAnsi"/>
          <w:lang w:val="en-US"/>
        </w:rPr>
        <w:t xml:space="preserve">grants </w:t>
      </w:r>
      <w:r w:rsidRPr="00524A62">
        <w:rPr>
          <w:rFonts w:cstheme="minorHAnsi"/>
          <w:lang w:val="en-US"/>
        </w:rPr>
        <w:t xml:space="preserve">for </w:t>
      </w:r>
      <w:r w:rsidR="004673CE" w:rsidRPr="00524A62">
        <w:rPr>
          <w:rFonts w:cstheme="minorHAnsi"/>
          <w:lang w:val="en-US"/>
        </w:rPr>
        <w:t xml:space="preserve">solar panel purchases, households must fulfill multiple conditions to receive a EUR </w:t>
      </w:r>
      <w:r w:rsidRPr="00524A62">
        <w:rPr>
          <w:rFonts w:cstheme="minorHAnsi"/>
          <w:lang w:val="en-US"/>
        </w:rPr>
        <w:t>2000 purchase bonus:</w:t>
      </w:r>
    </w:p>
    <w:p w14:paraId="707AC2EF" w14:textId="779AF277" w:rsidR="0049018D" w:rsidRPr="00524A62" w:rsidRDefault="0049018D" w:rsidP="0049018D">
      <w:pPr>
        <w:pStyle w:val="ListParagraph"/>
        <w:numPr>
          <w:ilvl w:val="0"/>
          <w:numId w:val="5"/>
        </w:numPr>
        <w:rPr>
          <w:rFonts w:cstheme="minorHAnsi"/>
          <w:lang w:val="en-US"/>
        </w:rPr>
      </w:pPr>
      <w:r w:rsidRPr="00524A62">
        <w:rPr>
          <w:rFonts w:cstheme="minorHAnsi"/>
          <w:lang w:val="en-US"/>
        </w:rPr>
        <w:t xml:space="preserve">Condition 1: </w:t>
      </w:r>
      <w:r w:rsidR="004673CE" w:rsidRPr="00524A62">
        <w:rPr>
          <w:rFonts w:cstheme="minorHAnsi"/>
          <w:lang w:val="en-US"/>
        </w:rPr>
        <w:t xml:space="preserve">Capacity of under 20 kW, AND </w:t>
      </w:r>
    </w:p>
    <w:p w14:paraId="30954BDA" w14:textId="0F883661" w:rsidR="0049018D" w:rsidRPr="00524A62" w:rsidRDefault="0049018D" w:rsidP="004673CE">
      <w:pPr>
        <w:pStyle w:val="ListParagraph"/>
        <w:numPr>
          <w:ilvl w:val="0"/>
          <w:numId w:val="5"/>
        </w:numPr>
        <w:rPr>
          <w:rFonts w:cstheme="minorHAnsi"/>
          <w:lang w:val="en-US"/>
        </w:rPr>
      </w:pPr>
      <w:r w:rsidRPr="00524A62">
        <w:rPr>
          <w:rFonts w:cstheme="minorHAnsi"/>
          <w:lang w:val="en-US"/>
        </w:rPr>
        <w:t>Condition 2:</w:t>
      </w:r>
      <w:r w:rsidR="004673CE" w:rsidRPr="00524A62">
        <w:rPr>
          <w:rFonts w:cstheme="minorHAnsi"/>
          <w:lang w:val="en-US"/>
        </w:rPr>
        <w:t xml:space="preserve"> Installation costs of 10,000 EUR or less</w:t>
      </w:r>
    </w:p>
    <w:p w14:paraId="6A8BBBF1" w14:textId="5C945FE9" w:rsidR="0049018D" w:rsidRDefault="0049018D" w:rsidP="0049018D">
      <w:pPr>
        <w:rPr>
          <w:rFonts w:cstheme="minorHAnsi"/>
          <w:lang w:val="en-US"/>
        </w:rPr>
      </w:pPr>
      <w:r w:rsidRPr="00524A62">
        <w:rPr>
          <w:rFonts w:cstheme="minorHAnsi"/>
          <w:lang w:val="en-US"/>
        </w:rPr>
        <w:t xml:space="preserve">We record this as in the table below. The level of support is only recorded in level_1, and level_2 is left blank. Details on the unit are recorded in the sections </w:t>
      </w:r>
      <w:r w:rsidR="00A21A6A" w:rsidRPr="00524A62">
        <w:rPr>
          <w:rFonts w:cstheme="minorHAnsi"/>
          <w:lang w:val="en-US"/>
        </w:rPr>
        <w:t>condition_</w:t>
      </w:r>
      <w:r w:rsidRPr="00524A62">
        <w:rPr>
          <w:rFonts w:cstheme="minorHAnsi"/>
          <w:lang w:val="en-US"/>
        </w:rPr>
        <w:t xml:space="preserve">1_notes and </w:t>
      </w:r>
      <w:r w:rsidR="00A21A6A" w:rsidRPr="00524A62">
        <w:rPr>
          <w:rFonts w:cstheme="minorHAnsi"/>
          <w:lang w:val="en-US"/>
        </w:rPr>
        <w:t>condition_</w:t>
      </w:r>
      <w:r w:rsidRPr="00524A62">
        <w:rPr>
          <w:rFonts w:cstheme="minorHAnsi"/>
          <w:lang w:val="en-US"/>
        </w:rPr>
        <w:t xml:space="preserve">2_notes. </w:t>
      </w:r>
    </w:p>
    <w:p w14:paraId="2819699C" w14:textId="4C555ACD" w:rsidR="00E53D4F" w:rsidRPr="00524A62" w:rsidRDefault="00E53D4F" w:rsidP="00E53D4F">
      <w:pPr>
        <w:pStyle w:val="Caption"/>
        <w:rPr>
          <w:rFonts w:cstheme="minorHAnsi"/>
          <w:lang w:val="en-US"/>
        </w:rPr>
      </w:pPr>
      <w:bookmarkStart w:id="23" w:name="_Hlk219992035"/>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2770E1">
        <w:rPr>
          <w:noProof/>
          <w:lang w:val="en-US"/>
        </w:rPr>
        <w:t>10</w:t>
      </w:r>
      <w:r w:rsidRPr="00551268">
        <w:rPr>
          <w:noProof/>
          <w:lang w:val="en-US"/>
        </w:rPr>
        <w:fldChar w:fldCharType="end"/>
      </w:r>
      <w:r w:rsidRPr="00551268">
        <w:rPr>
          <w:lang w:val="en-US"/>
        </w:rPr>
        <w:t xml:space="preserve">: </w:t>
      </w:r>
      <w:r>
        <w:rPr>
          <w:lang w:val="en-US"/>
        </w:rPr>
        <w:t>Recording instruments with multiple conditions that must be fulfilled</w:t>
      </w:r>
      <w:bookmarkEnd w:id="23"/>
    </w:p>
    <w:tbl>
      <w:tblPr>
        <w:tblStyle w:val="TableGrid"/>
        <w:tblW w:w="5083" w:type="pct"/>
        <w:tblLook w:val="04A0" w:firstRow="1" w:lastRow="0" w:firstColumn="1" w:lastColumn="0" w:noHBand="0" w:noVBand="1"/>
      </w:tblPr>
      <w:tblGrid>
        <w:gridCol w:w="1321"/>
        <w:gridCol w:w="1346"/>
        <w:gridCol w:w="1331"/>
        <w:gridCol w:w="541"/>
        <w:gridCol w:w="1170"/>
        <w:gridCol w:w="1321"/>
        <w:gridCol w:w="1346"/>
        <w:gridCol w:w="1331"/>
      </w:tblGrid>
      <w:tr w:rsidR="0049018D" w:rsidRPr="00524A62" w14:paraId="042B21BB" w14:textId="77777777" w:rsidTr="004673CE">
        <w:trPr>
          <w:trHeight w:val="55"/>
        </w:trPr>
        <w:tc>
          <w:tcPr>
            <w:tcW w:w="679" w:type="pct"/>
          </w:tcPr>
          <w:p w14:paraId="0DB5ECE9" w14:textId="24DC4AAA" w:rsidR="0049018D" w:rsidRPr="00524A62" w:rsidRDefault="00A21A6A"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condition_</w:t>
            </w:r>
            <w:r w:rsidR="0049018D" w:rsidRPr="00524A62">
              <w:rPr>
                <w:rFonts w:eastAsia="Times New Roman" w:cstheme="minorHAnsi"/>
                <w:color w:val="000000"/>
                <w:sz w:val="16"/>
                <w:szCs w:val="16"/>
                <w:lang w:val="en-US" w:eastAsia="en-IN"/>
              </w:rPr>
              <w:t>min_1</w:t>
            </w:r>
          </w:p>
        </w:tc>
        <w:tc>
          <w:tcPr>
            <w:tcW w:w="692" w:type="pct"/>
          </w:tcPr>
          <w:p w14:paraId="174E70C0" w14:textId="71BDA2F8" w:rsidR="0049018D" w:rsidRPr="00524A62" w:rsidRDefault="00A21A6A"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condition_</w:t>
            </w:r>
            <w:r w:rsidR="0049018D" w:rsidRPr="00524A62">
              <w:rPr>
                <w:rFonts w:eastAsia="Times New Roman" w:cstheme="minorHAnsi"/>
                <w:color w:val="000000"/>
                <w:sz w:val="16"/>
                <w:szCs w:val="16"/>
                <w:lang w:val="en-US" w:eastAsia="en-IN"/>
              </w:rPr>
              <w:t>max_1</w:t>
            </w:r>
          </w:p>
        </w:tc>
        <w:tc>
          <w:tcPr>
            <w:tcW w:w="685" w:type="pct"/>
          </w:tcPr>
          <w:p w14:paraId="374841E1" w14:textId="16B33B55" w:rsidR="0049018D" w:rsidRPr="00524A62" w:rsidRDefault="00A21A6A"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condition_</w:t>
            </w:r>
            <w:r w:rsidR="0049018D" w:rsidRPr="00524A62">
              <w:rPr>
                <w:rFonts w:eastAsia="Times New Roman" w:cstheme="minorHAnsi"/>
                <w:color w:val="000000"/>
                <w:sz w:val="16"/>
                <w:szCs w:val="16"/>
                <w:lang w:val="en-US" w:eastAsia="en-IN"/>
              </w:rPr>
              <w:t>unit_1</w:t>
            </w:r>
          </w:p>
        </w:tc>
        <w:tc>
          <w:tcPr>
            <w:tcW w:w="284" w:type="pct"/>
          </w:tcPr>
          <w:p w14:paraId="6A141D31"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lvl_1</w:t>
            </w:r>
          </w:p>
        </w:tc>
        <w:tc>
          <w:tcPr>
            <w:tcW w:w="603" w:type="pct"/>
          </w:tcPr>
          <w:p w14:paraId="20B0D371"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lvl_1_currency</w:t>
            </w:r>
          </w:p>
        </w:tc>
        <w:tc>
          <w:tcPr>
            <w:tcW w:w="680" w:type="pct"/>
          </w:tcPr>
          <w:p w14:paraId="3AAC6C72" w14:textId="6779729D" w:rsidR="0049018D" w:rsidRPr="00524A62" w:rsidRDefault="00A21A6A"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condition_</w:t>
            </w:r>
            <w:r w:rsidR="0049018D" w:rsidRPr="00524A62">
              <w:rPr>
                <w:rFonts w:eastAsia="Times New Roman" w:cstheme="minorHAnsi"/>
                <w:color w:val="000000"/>
                <w:sz w:val="16"/>
                <w:szCs w:val="16"/>
                <w:lang w:val="en-US" w:eastAsia="en-IN"/>
              </w:rPr>
              <w:t>min_2</w:t>
            </w:r>
          </w:p>
        </w:tc>
        <w:tc>
          <w:tcPr>
            <w:tcW w:w="693" w:type="pct"/>
          </w:tcPr>
          <w:p w14:paraId="03C91574" w14:textId="54157A71" w:rsidR="0049018D" w:rsidRPr="00524A62" w:rsidRDefault="00A21A6A"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condition_</w:t>
            </w:r>
            <w:r w:rsidR="0049018D" w:rsidRPr="00524A62">
              <w:rPr>
                <w:rFonts w:eastAsia="Times New Roman" w:cstheme="minorHAnsi"/>
                <w:color w:val="000000"/>
                <w:sz w:val="16"/>
                <w:szCs w:val="16"/>
                <w:lang w:val="en-US" w:eastAsia="en-IN"/>
              </w:rPr>
              <w:t>max_2</w:t>
            </w:r>
          </w:p>
        </w:tc>
        <w:tc>
          <w:tcPr>
            <w:tcW w:w="685" w:type="pct"/>
          </w:tcPr>
          <w:p w14:paraId="5448B3EB" w14:textId="47A7E29A" w:rsidR="0049018D" w:rsidRPr="00524A62" w:rsidRDefault="00A21A6A"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condition_</w:t>
            </w:r>
            <w:r w:rsidR="0049018D" w:rsidRPr="00524A62">
              <w:rPr>
                <w:rFonts w:eastAsia="Times New Roman" w:cstheme="minorHAnsi"/>
                <w:color w:val="000000"/>
                <w:sz w:val="16"/>
                <w:szCs w:val="16"/>
                <w:lang w:val="en-US" w:eastAsia="en-IN"/>
              </w:rPr>
              <w:t>unit_2</w:t>
            </w:r>
          </w:p>
        </w:tc>
      </w:tr>
      <w:tr w:rsidR="0049018D" w:rsidRPr="00524A62" w14:paraId="5065A792" w14:textId="77777777" w:rsidTr="004673CE">
        <w:trPr>
          <w:trHeight w:val="52"/>
        </w:trPr>
        <w:tc>
          <w:tcPr>
            <w:tcW w:w="679" w:type="pct"/>
          </w:tcPr>
          <w:p w14:paraId="05B9B0DE"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NA</w:t>
            </w:r>
          </w:p>
        </w:tc>
        <w:tc>
          <w:tcPr>
            <w:tcW w:w="692" w:type="pct"/>
          </w:tcPr>
          <w:p w14:paraId="3FC2F563" w14:textId="395CD1A4" w:rsidR="0049018D" w:rsidRPr="00524A62" w:rsidRDefault="004673CE"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20</w:t>
            </w:r>
          </w:p>
        </w:tc>
        <w:tc>
          <w:tcPr>
            <w:tcW w:w="685" w:type="pct"/>
          </w:tcPr>
          <w:p w14:paraId="354CAE68" w14:textId="6524C2ED" w:rsidR="0049018D" w:rsidRPr="00524A62" w:rsidRDefault="004673CE"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kW</w:t>
            </w:r>
          </w:p>
        </w:tc>
        <w:tc>
          <w:tcPr>
            <w:tcW w:w="284" w:type="pct"/>
          </w:tcPr>
          <w:p w14:paraId="59CBA4A5"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2000</w:t>
            </w:r>
          </w:p>
        </w:tc>
        <w:tc>
          <w:tcPr>
            <w:tcW w:w="603" w:type="pct"/>
          </w:tcPr>
          <w:p w14:paraId="7478381D" w14:textId="77777777" w:rsidR="0049018D" w:rsidRPr="00524A62" w:rsidRDefault="0049018D"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EUR</w:t>
            </w:r>
          </w:p>
        </w:tc>
        <w:tc>
          <w:tcPr>
            <w:tcW w:w="680" w:type="pct"/>
          </w:tcPr>
          <w:p w14:paraId="430D9923" w14:textId="21E4FD2C" w:rsidR="0049018D" w:rsidRPr="00524A62" w:rsidRDefault="004673CE"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NA</w:t>
            </w:r>
          </w:p>
        </w:tc>
        <w:tc>
          <w:tcPr>
            <w:tcW w:w="693" w:type="pct"/>
          </w:tcPr>
          <w:p w14:paraId="7BB89D11" w14:textId="21A7C212" w:rsidR="0049018D" w:rsidRPr="00524A62" w:rsidRDefault="004673CE"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10000</w:t>
            </w:r>
          </w:p>
        </w:tc>
        <w:tc>
          <w:tcPr>
            <w:tcW w:w="685" w:type="pct"/>
          </w:tcPr>
          <w:p w14:paraId="746E8EB5" w14:textId="4600D711" w:rsidR="0049018D" w:rsidRPr="00524A62" w:rsidRDefault="004673CE" w:rsidP="0005606D">
            <w:pPr>
              <w:rPr>
                <w:rFonts w:eastAsia="Times New Roman" w:cstheme="minorHAnsi"/>
                <w:color w:val="000000"/>
                <w:sz w:val="16"/>
                <w:szCs w:val="16"/>
                <w:lang w:val="en-US" w:eastAsia="en-IN"/>
              </w:rPr>
            </w:pPr>
            <w:r w:rsidRPr="00524A62">
              <w:rPr>
                <w:rFonts w:eastAsia="Times New Roman" w:cstheme="minorHAnsi"/>
                <w:color w:val="000000"/>
                <w:sz w:val="16"/>
                <w:szCs w:val="16"/>
                <w:lang w:val="en-US" w:eastAsia="en-IN"/>
              </w:rPr>
              <w:t>EUR installation cost</w:t>
            </w:r>
          </w:p>
        </w:tc>
      </w:tr>
    </w:tbl>
    <w:p w14:paraId="66DA6294" w14:textId="77777777" w:rsidR="0049018D" w:rsidRPr="00524A62" w:rsidRDefault="0049018D" w:rsidP="0049018D">
      <w:pPr>
        <w:rPr>
          <w:rFonts w:cstheme="minorHAnsi"/>
          <w:lang w:val="en-US"/>
        </w:rPr>
      </w:pPr>
    </w:p>
    <w:p w14:paraId="74CF93F2" w14:textId="1A5D7D8B" w:rsidR="0049018D" w:rsidRPr="00524A62" w:rsidRDefault="000378D8" w:rsidP="00044569">
      <w:pPr>
        <w:rPr>
          <w:rFonts w:cstheme="minorHAnsi"/>
          <w:lang w:val="en-US"/>
        </w:rPr>
      </w:pPr>
      <w:r w:rsidRPr="00524A62">
        <w:rPr>
          <w:rFonts w:cstheme="minorHAnsi"/>
          <w:b/>
          <w:bCs/>
          <w:lang w:val="en-US"/>
        </w:rPr>
        <w:t>NOTE</w:t>
      </w:r>
      <w:r w:rsidR="0049018D" w:rsidRPr="00524A62">
        <w:rPr>
          <w:rFonts w:cstheme="minorHAnsi"/>
          <w:b/>
          <w:bCs/>
          <w:lang w:val="en-US"/>
        </w:rPr>
        <w:t>:</w:t>
      </w:r>
      <w:r w:rsidR="0049018D" w:rsidRPr="00524A62">
        <w:rPr>
          <w:rFonts w:cstheme="minorHAnsi"/>
          <w:lang w:val="en-US"/>
        </w:rPr>
        <w:t xml:space="preserve"> this is also the case for policies with technology requirements. For example, if only </w:t>
      </w:r>
      <w:r w:rsidR="0049018D" w:rsidRPr="00524A62">
        <w:rPr>
          <w:rFonts w:cstheme="minorHAnsi"/>
          <w:i/>
          <w:iCs/>
          <w:lang w:val="en-US"/>
        </w:rPr>
        <w:t>building-integrated</w:t>
      </w:r>
      <w:r w:rsidR="0049018D" w:rsidRPr="00524A62">
        <w:rPr>
          <w:rFonts w:cstheme="minorHAnsi"/>
          <w:lang w:val="en-US"/>
        </w:rPr>
        <w:t xml:space="preserve"> solar PV installations under 100 kW are eligible for a FIT, the cell </w:t>
      </w:r>
      <w:r w:rsidR="00A21A6A" w:rsidRPr="00524A62">
        <w:rPr>
          <w:rFonts w:cstheme="minorHAnsi"/>
          <w:lang w:val="en-US"/>
        </w:rPr>
        <w:t>technology_</w:t>
      </w:r>
      <w:r w:rsidR="0049018D" w:rsidRPr="00524A62">
        <w:rPr>
          <w:rFonts w:cstheme="minorHAnsi"/>
          <w:lang w:val="en-US"/>
        </w:rPr>
        <w:t xml:space="preserve">requirement should be filled in as “building-integrated” and both conditions must apply to receive the EUR 0.06 FIT. </w:t>
      </w:r>
    </w:p>
    <w:p w14:paraId="5A6B9EE7" w14:textId="77777777" w:rsidR="0049018D" w:rsidRPr="00524A62" w:rsidRDefault="0049018D" w:rsidP="0049018D">
      <w:pPr>
        <w:rPr>
          <w:rFonts w:cstheme="minorHAnsi"/>
          <w:lang w:val="en-US"/>
        </w:rPr>
      </w:pPr>
      <w:r w:rsidRPr="00524A62">
        <w:rPr>
          <w:rFonts w:cstheme="minorHAnsi"/>
          <w:b/>
          <w:bCs/>
          <w:lang w:val="en-US"/>
        </w:rPr>
        <w:t>Multiple_conditions_attributes:</w:t>
      </w:r>
      <w:r w:rsidRPr="00524A62">
        <w:rPr>
          <w:rFonts w:cstheme="minorHAnsi"/>
          <w:lang w:val="en-US"/>
        </w:rPr>
        <w:t xml:space="preserve"> To signal to the data user the difference between Case 2 (different levels of support for different groups) and Case 3 (conditions that must all be met to receive support), we fill in the cell “Multiple_conditions_attribute”. Case 2 would be filled in as GROUP and case 3 as ALL. For Case 1, this column is marked NA (not applicable).</w:t>
      </w:r>
    </w:p>
    <w:p w14:paraId="6BCF957D" w14:textId="77777777" w:rsidR="00044569" w:rsidRDefault="00044569" w:rsidP="00A17BF6">
      <w:pPr>
        <w:rPr>
          <w:rFonts w:cstheme="minorHAnsi"/>
          <w:lang w:val="en-US"/>
        </w:rPr>
      </w:pPr>
      <w:r w:rsidRPr="00551268">
        <w:rPr>
          <w:rFonts w:cstheme="minorHAnsi"/>
          <w:lang w:val="en-US"/>
        </w:rPr>
        <w:t xml:space="preserve">Condition_1_notes and Condition_2_notes. </w:t>
      </w:r>
    </w:p>
    <w:p w14:paraId="15A6D439" w14:textId="6A54F025" w:rsidR="00044569" w:rsidRPr="00551268" w:rsidRDefault="00044569" w:rsidP="00044569">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2770E1">
        <w:rPr>
          <w:noProof/>
          <w:lang w:val="en-US"/>
        </w:rPr>
        <w:t>11</w:t>
      </w:r>
      <w:r w:rsidRPr="00551268">
        <w:rPr>
          <w:noProof/>
          <w:lang w:val="en-US"/>
        </w:rPr>
        <w:fldChar w:fldCharType="end"/>
      </w:r>
      <w:r w:rsidRPr="00551268">
        <w:rPr>
          <w:lang w:val="en-US"/>
        </w:rPr>
        <w:t xml:space="preserve">: </w:t>
      </w:r>
      <w:r>
        <w:rPr>
          <w:lang w:val="en-US"/>
        </w:rPr>
        <w:t>Multiple conditions variable</w:t>
      </w:r>
    </w:p>
    <w:tbl>
      <w:tblPr>
        <w:tblStyle w:val="TableGrid"/>
        <w:tblW w:w="9117" w:type="dxa"/>
        <w:tblLook w:val="04A0" w:firstRow="1" w:lastRow="0" w:firstColumn="1" w:lastColumn="0" w:noHBand="0" w:noVBand="1"/>
      </w:tblPr>
      <w:tblGrid>
        <w:gridCol w:w="3473"/>
        <w:gridCol w:w="5644"/>
      </w:tblGrid>
      <w:tr w:rsidR="0049018D" w:rsidRPr="008D4356" w14:paraId="5487A1CF" w14:textId="77777777" w:rsidTr="0005606D">
        <w:trPr>
          <w:trHeight w:val="302"/>
        </w:trPr>
        <w:tc>
          <w:tcPr>
            <w:tcW w:w="3473" w:type="dxa"/>
          </w:tcPr>
          <w:p w14:paraId="6DBBE4A6" w14:textId="77777777" w:rsidR="0049018D" w:rsidRPr="00524A62" w:rsidRDefault="0049018D" w:rsidP="0005606D">
            <w:pPr>
              <w:rPr>
                <w:rFonts w:cstheme="minorHAnsi"/>
                <w:lang w:val="en-US"/>
              </w:rPr>
            </w:pPr>
            <w:r w:rsidRPr="00524A62">
              <w:rPr>
                <w:rFonts w:cstheme="minorHAnsi"/>
                <w:lang w:val="en-US"/>
              </w:rPr>
              <w:t>Multiple_conditions_attribute</w:t>
            </w:r>
          </w:p>
        </w:tc>
        <w:tc>
          <w:tcPr>
            <w:tcW w:w="5644" w:type="dxa"/>
          </w:tcPr>
          <w:p w14:paraId="5C3FA140" w14:textId="77777777" w:rsidR="0049018D" w:rsidRPr="00524A62" w:rsidRDefault="0049018D" w:rsidP="0005606D">
            <w:pPr>
              <w:jc w:val="thaiDistribute"/>
              <w:rPr>
                <w:rFonts w:cstheme="minorHAnsi"/>
                <w:lang w:val="en-US"/>
              </w:rPr>
            </w:pPr>
            <w:r w:rsidRPr="00524A62">
              <w:rPr>
                <w:rFonts w:cstheme="minorHAnsi"/>
                <w:lang w:val="en-US"/>
              </w:rPr>
              <w:t>The condition attribute applies when the policy has multiple conditions.</w:t>
            </w:r>
          </w:p>
          <w:p w14:paraId="1019F24A" w14:textId="6F44A5A8" w:rsidR="0049018D" w:rsidRPr="00524A62" w:rsidRDefault="0049018D" w:rsidP="00367769">
            <w:pPr>
              <w:jc w:val="thaiDistribute"/>
              <w:rPr>
                <w:rFonts w:cstheme="minorHAnsi"/>
                <w:lang w:val="en-US"/>
              </w:rPr>
            </w:pPr>
            <w:r w:rsidRPr="00524A62">
              <w:rPr>
                <w:rFonts w:cstheme="minorHAnsi"/>
                <w:lang w:val="en-US"/>
              </w:rPr>
              <w:t xml:space="preserve">GROUP: Each regulation condition applies separately, such as different levels of </w:t>
            </w:r>
            <w:r w:rsidR="004F4E61" w:rsidRPr="00524A62">
              <w:rPr>
                <w:rFonts w:cstheme="minorHAnsi"/>
                <w:lang w:val="en-US"/>
              </w:rPr>
              <w:t xml:space="preserve">grants </w:t>
            </w:r>
            <w:r w:rsidRPr="00524A62">
              <w:rPr>
                <w:rFonts w:cstheme="minorHAnsi"/>
                <w:lang w:val="en-US"/>
              </w:rPr>
              <w:t>for different emissions thresholds</w:t>
            </w:r>
          </w:p>
          <w:p w14:paraId="4E70B2C9" w14:textId="77D13785" w:rsidR="0049018D" w:rsidRPr="00524A62" w:rsidRDefault="0049018D" w:rsidP="00367769">
            <w:pPr>
              <w:jc w:val="thaiDistribute"/>
              <w:rPr>
                <w:rFonts w:cstheme="minorHAnsi"/>
                <w:lang w:val="en-US"/>
              </w:rPr>
            </w:pPr>
            <w:r w:rsidRPr="00524A62">
              <w:rPr>
                <w:rFonts w:cstheme="minorHAnsi"/>
                <w:lang w:val="en-US"/>
              </w:rPr>
              <w:t xml:space="preserve">All: All conditions of apply together, and if you do not meet all </w:t>
            </w:r>
            <w:r w:rsidR="005A02AB" w:rsidRPr="00524A62">
              <w:rPr>
                <w:rFonts w:cstheme="minorHAnsi"/>
                <w:lang w:val="en-US"/>
              </w:rPr>
              <w:t>conditions,</w:t>
            </w:r>
            <w:r w:rsidRPr="00524A62">
              <w:rPr>
                <w:rFonts w:cstheme="minorHAnsi"/>
                <w:lang w:val="en-US"/>
              </w:rPr>
              <w:t xml:space="preserve"> you do not receive support.</w:t>
            </w:r>
          </w:p>
        </w:tc>
      </w:tr>
    </w:tbl>
    <w:p w14:paraId="72576567" w14:textId="77777777" w:rsidR="0049018D" w:rsidRPr="00524A62" w:rsidRDefault="0049018D" w:rsidP="0049018D">
      <w:pPr>
        <w:rPr>
          <w:rFonts w:cstheme="minorHAnsi"/>
          <w:lang w:val="en-US"/>
        </w:rPr>
      </w:pPr>
    </w:p>
    <w:p w14:paraId="1DDA0D24" w14:textId="7175ACC8" w:rsidR="0049018D" w:rsidRPr="00524A62" w:rsidRDefault="0049018D" w:rsidP="0049018D">
      <w:pPr>
        <w:rPr>
          <w:rFonts w:cstheme="minorHAnsi"/>
          <w:lang w:val="en-US"/>
        </w:rPr>
      </w:pPr>
      <w:r w:rsidRPr="00524A62">
        <w:rPr>
          <w:rFonts w:cstheme="minorHAnsi"/>
          <w:lang w:val="en-US"/>
        </w:rPr>
        <w:t xml:space="preserve">So far, we have collected data by adding instrument conditions and levels as needed: most do not have more than 2, and very few have more than 5. </w:t>
      </w:r>
      <w:r w:rsidR="005A02AB" w:rsidRPr="00524A62">
        <w:rPr>
          <w:rFonts w:cstheme="minorHAnsi"/>
          <w:lang w:val="en-US"/>
        </w:rPr>
        <w:t>However,</w:t>
      </w:r>
      <w:r w:rsidRPr="00524A62">
        <w:rPr>
          <w:rFonts w:cstheme="minorHAnsi"/>
          <w:lang w:val="en-US"/>
        </w:rPr>
        <w:t xml:space="preserve"> there are a few exceptions for this</w:t>
      </w:r>
      <w:r w:rsidR="0044289B" w:rsidRPr="00524A62">
        <w:rPr>
          <w:rFonts w:cstheme="minorHAnsi"/>
          <w:lang w:val="en-US"/>
        </w:rPr>
        <w:t>. For more than 5 conditions, we record as follows:</w:t>
      </w:r>
    </w:p>
    <w:p w14:paraId="5136E722" w14:textId="1E73E309" w:rsidR="0049018D" w:rsidRPr="00524A62" w:rsidRDefault="00A21A6A" w:rsidP="0049018D">
      <w:pPr>
        <w:pStyle w:val="ListParagraph"/>
        <w:numPr>
          <w:ilvl w:val="0"/>
          <w:numId w:val="6"/>
        </w:numPr>
        <w:rPr>
          <w:rFonts w:cstheme="minorHAnsi"/>
          <w:lang w:val="en-US"/>
        </w:rPr>
      </w:pPr>
      <w:r w:rsidRPr="00524A62">
        <w:rPr>
          <w:rFonts w:cstheme="minorHAnsi"/>
          <w:lang w:val="en-US"/>
        </w:rPr>
        <w:t>condition_</w:t>
      </w:r>
      <w:r w:rsidR="0049018D" w:rsidRPr="00524A62">
        <w:rPr>
          <w:rFonts w:cstheme="minorHAnsi"/>
          <w:lang w:val="en-US"/>
        </w:rPr>
        <w:t>1: the lowest value of all the classes</w:t>
      </w:r>
    </w:p>
    <w:p w14:paraId="424DE103" w14:textId="08E0C525" w:rsidR="0049018D" w:rsidRPr="00524A62" w:rsidRDefault="00A21A6A" w:rsidP="0049018D">
      <w:pPr>
        <w:pStyle w:val="ListParagraph"/>
        <w:numPr>
          <w:ilvl w:val="0"/>
          <w:numId w:val="6"/>
        </w:numPr>
        <w:rPr>
          <w:rFonts w:cstheme="minorHAnsi"/>
          <w:lang w:val="en-US"/>
        </w:rPr>
      </w:pPr>
      <w:r w:rsidRPr="00524A62">
        <w:rPr>
          <w:rFonts w:cstheme="minorHAnsi"/>
          <w:lang w:val="en-US"/>
        </w:rPr>
        <w:t>condition_</w:t>
      </w:r>
      <w:r w:rsidR="0049018D" w:rsidRPr="00524A62">
        <w:rPr>
          <w:rFonts w:cstheme="minorHAnsi"/>
          <w:lang w:val="en-US"/>
        </w:rPr>
        <w:t xml:space="preserve">2: the </w:t>
      </w:r>
      <w:r w:rsidR="0044289B" w:rsidRPr="00524A62">
        <w:rPr>
          <w:rFonts w:cstheme="minorHAnsi"/>
          <w:lang w:val="en-US"/>
        </w:rPr>
        <w:t>median value for all the classes.</w:t>
      </w:r>
    </w:p>
    <w:p w14:paraId="7615702D" w14:textId="51770E74" w:rsidR="008D4356" w:rsidRPr="008D4356" w:rsidRDefault="00A21A6A" w:rsidP="0049018D">
      <w:pPr>
        <w:pStyle w:val="ListParagraph"/>
        <w:numPr>
          <w:ilvl w:val="0"/>
          <w:numId w:val="6"/>
        </w:numPr>
        <w:rPr>
          <w:rFonts w:cstheme="minorHAnsi"/>
          <w:lang w:val="en-US"/>
        </w:rPr>
      </w:pPr>
      <w:r w:rsidRPr="00524A62">
        <w:rPr>
          <w:rFonts w:cstheme="minorHAnsi"/>
          <w:lang w:val="en-US"/>
        </w:rPr>
        <w:t>condition_</w:t>
      </w:r>
      <w:r w:rsidR="0049018D" w:rsidRPr="00524A62">
        <w:rPr>
          <w:rFonts w:cstheme="minorHAnsi"/>
          <w:lang w:val="en-US"/>
        </w:rPr>
        <w:t xml:space="preserve">3: the highest value for all the classes. </w:t>
      </w:r>
    </w:p>
    <w:p w14:paraId="55F3BCEC" w14:textId="37FE8F55" w:rsidR="008D4356" w:rsidRPr="00524A62" w:rsidRDefault="008D4356" w:rsidP="008D4356">
      <w:pPr>
        <w:rPr>
          <w:rFonts w:cstheme="minorHAnsi"/>
          <w:lang w:val="en-US"/>
        </w:rPr>
      </w:pPr>
      <w:r w:rsidRPr="008D4356">
        <w:rPr>
          <w:rFonts w:cstheme="minorHAnsi"/>
          <w:b/>
          <w:bCs/>
          <w:lang w:val="en-US"/>
        </w:rPr>
        <w:t xml:space="preserve">NOTE </w:t>
      </w:r>
      <w:r>
        <w:rPr>
          <w:rFonts w:cstheme="minorHAnsi"/>
          <w:b/>
          <w:bCs/>
          <w:lang w:val="en-US"/>
        </w:rPr>
        <w:t>1</w:t>
      </w:r>
      <w:r>
        <w:rPr>
          <w:rFonts w:cstheme="minorHAnsi"/>
          <w:lang w:val="en-US"/>
        </w:rPr>
        <w:t xml:space="preserve">: For the rooftop PV and wind FIT for the United Kingdom, we record all six capacity bands supported for the years 2010 to 2016 - on yearly averages of the quarterly values – to retain the full set of information available and identify the full set of policy changes regarding the capacities supported. Additionally, for biomass FIT in Bulgaria, we record averages of different ranges of </w:t>
      </w:r>
      <w:r>
        <w:rPr>
          <w:rFonts w:cstheme="minorHAnsi"/>
          <w:lang w:val="en-US"/>
        </w:rPr>
        <w:lastRenderedPageBreak/>
        <w:t xml:space="preserve">supported capacities for each year for simplicity and comparison purposes, as both the levels of the FIT and the bands of the supported capacities vary significantly throughout the recorded sample. More details on the exact calculations for each year can be found on the notes of the FIT biomass for the respective </w:t>
      </w:r>
      <w:r w:rsidR="00073F1F">
        <w:rPr>
          <w:rFonts w:cstheme="minorHAnsi"/>
          <w:lang w:val="en-US"/>
        </w:rPr>
        <w:t>y</w:t>
      </w:r>
      <w:r>
        <w:rPr>
          <w:rFonts w:cstheme="minorHAnsi"/>
          <w:lang w:val="en-US"/>
        </w:rPr>
        <w:t xml:space="preserve">ear. </w:t>
      </w:r>
    </w:p>
    <w:p w14:paraId="55DA7DC5" w14:textId="6CF109E4" w:rsidR="0049018D" w:rsidRDefault="000378D8" w:rsidP="0049018D">
      <w:pPr>
        <w:rPr>
          <w:rFonts w:cstheme="minorHAnsi"/>
          <w:lang w:val="en-US"/>
        </w:rPr>
      </w:pPr>
      <w:r w:rsidRPr="00524A62">
        <w:rPr>
          <w:rFonts w:cstheme="minorHAnsi"/>
          <w:b/>
          <w:bCs/>
          <w:lang w:val="en-US"/>
        </w:rPr>
        <w:t>NOTE</w:t>
      </w:r>
      <w:r w:rsidR="008D4356">
        <w:rPr>
          <w:rFonts w:cstheme="minorHAnsi"/>
          <w:b/>
          <w:bCs/>
          <w:lang w:val="en-US"/>
        </w:rPr>
        <w:t xml:space="preserve"> 2</w:t>
      </w:r>
      <w:r w:rsidR="0049018D" w:rsidRPr="00524A62">
        <w:rPr>
          <w:rFonts w:cstheme="minorHAnsi"/>
          <w:b/>
          <w:bCs/>
          <w:lang w:val="en-US"/>
        </w:rPr>
        <w:t>:</w:t>
      </w:r>
      <w:r w:rsidR="0049018D" w:rsidRPr="00524A62">
        <w:rPr>
          <w:rFonts w:cstheme="minorHAnsi"/>
          <w:lang w:val="en-US"/>
        </w:rPr>
        <w:t xml:space="preserve"> For some policies, there are bonuses that can result in increased support levels. For example, the French “prime à l’intégration” (integration bonus): until 2018, very small solar PV installations received a higher FIT if they were building-integrated. The FIT without building integration is EUR 0.18 and can go up to EUR 0.22 including the bonus of EUR 0.04. We record the FIT as EUR 0.22 and include the information about the bonus in the </w:t>
      </w:r>
      <w:r w:rsidR="00A00397" w:rsidRPr="00524A62">
        <w:rPr>
          <w:rFonts w:cstheme="minorHAnsi"/>
          <w:lang w:val="en-US"/>
        </w:rPr>
        <w:t>note</w:t>
      </w:r>
      <w:r w:rsidR="0049018D" w:rsidRPr="00524A62">
        <w:rPr>
          <w:rFonts w:cstheme="minorHAnsi"/>
          <w:lang w:val="en-US"/>
        </w:rPr>
        <w:t xml:space="preserve">s. </w:t>
      </w:r>
    </w:p>
    <w:p w14:paraId="3A17CFE6" w14:textId="77777777" w:rsidR="0049018D" w:rsidRPr="00524A62" w:rsidRDefault="0049018D" w:rsidP="00EF0B89">
      <w:pPr>
        <w:pStyle w:val="Heading2"/>
        <w:rPr>
          <w:lang w:val="en-US"/>
        </w:rPr>
      </w:pPr>
      <w:bookmarkStart w:id="24" w:name="_Toc219972874"/>
      <w:r w:rsidRPr="00524A62">
        <w:rPr>
          <w:lang w:val="en-US"/>
        </w:rPr>
        <w:t>Support levels: currency and percent</w:t>
      </w:r>
      <w:bookmarkEnd w:id="24"/>
    </w:p>
    <w:p w14:paraId="3E8F8285" w14:textId="68F84EDF" w:rsidR="0049018D" w:rsidRPr="00524A62" w:rsidRDefault="0049018D" w:rsidP="0049018D">
      <w:pPr>
        <w:rPr>
          <w:rFonts w:cstheme="minorHAnsi"/>
          <w:lang w:val="en-US"/>
        </w:rPr>
      </w:pPr>
      <w:r w:rsidRPr="00524A62">
        <w:rPr>
          <w:rFonts w:cstheme="minorHAnsi"/>
          <w:lang w:val="en-US"/>
        </w:rPr>
        <w:t xml:space="preserve">In the policy instruments described above, support levels are determined by setting a specific currency price per unit. Monetary data usually represents the support paid per unit during a calendar year. </w:t>
      </w:r>
      <w:r w:rsidR="00033F42" w:rsidRPr="00524A62">
        <w:rPr>
          <w:rFonts w:cstheme="minorHAnsi"/>
          <w:lang w:val="en-US"/>
        </w:rPr>
        <w:t>Entries that concern monetary support are recorded as listed in the source, which is usually the local currency</w:t>
      </w:r>
      <w:r w:rsidR="00840EDC">
        <w:rPr>
          <w:rFonts w:cstheme="minorHAnsi"/>
          <w:lang w:val="en-US"/>
        </w:rPr>
        <w:t>, and then transformed to EUR.</w:t>
      </w:r>
    </w:p>
    <w:p w14:paraId="64BCB9E8" w14:textId="738EB02A" w:rsidR="0049018D" w:rsidRPr="00524A62" w:rsidRDefault="0049018D" w:rsidP="007B3270">
      <w:pPr>
        <w:rPr>
          <w:rFonts w:cstheme="minorHAnsi"/>
          <w:lang w:val="en-US"/>
        </w:rPr>
      </w:pPr>
      <w:r w:rsidRPr="00524A62">
        <w:rPr>
          <w:rFonts w:cstheme="minorHAnsi"/>
          <w:lang w:val="en-US"/>
        </w:rPr>
        <w:t>In some cases, policies and their support levels are changed during the year. We handle this as follows:</w:t>
      </w:r>
      <w:r w:rsidR="007B3270" w:rsidRPr="00524A62">
        <w:rPr>
          <w:rFonts w:cstheme="minorHAnsi"/>
          <w:lang w:val="en-US"/>
        </w:rPr>
        <w:t xml:space="preserve"> </w:t>
      </w:r>
      <w:r w:rsidRPr="00524A62">
        <w:rPr>
          <w:rFonts w:cstheme="minorHAnsi"/>
          <w:lang w:val="en-US"/>
        </w:rPr>
        <w:t xml:space="preserve">Data from Hafner and Lilliestam were recorded using a </w:t>
      </w:r>
      <w:bookmarkStart w:id="25" w:name="_Hlk190686303"/>
      <w:r w:rsidRPr="00524A62">
        <w:rPr>
          <w:rFonts w:cstheme="minorHAnsi"/>
          <w:lang w:val="en-US"/>
        </w:rPr>
        <w:t>time-weighted mean value. For example, if support was changed from EUR10 per kWh to EUR8 per kWh on 1 April, the entry is (10*3+8*9)/12 = EUR 8.5 per kWh in that year. If a policy was changed very late in the year (November or December), the support level during the l</w:t>
      </w:r>
      <w:r w:rsidR="004601EA" w:rsidRPr="00524A62">
        <w:rPr>
          <w:rFonts w:cstheme="minorHAnsi"/>
          <w:lang w:val="en-US"/>
        </w:rPr>
        <w:t>ongest</w:t>
      </w:r>
      <w:r w:rsidRPr="00524A62">
        <w:rPr>
          <w:rFonts w:cstheme="minorHAnsi"/>
          <w:lang w:val="en-US"/>
        </w:rPr>
        <w:t xml:space="preserve"> part of the year was listed. If a policy was cancelled during the year, the support level up until the cancellation of the policy is recorded and it is </w:t>
      </w:r>
      <w:r w:rsidR="00707A09" w:rsidRPr="00524A62">
        <w:rPr>
          <w:rFonts w:cstheme="minorHAnsi"/>
          <w:lang w:val="en-US"/>
        </w:rPr>
        <w:t>note</w:t>
      </w:r>
      <w:r w:rsidRPr="00524A62">
        <w:rPr>
          <w:rFonts w:cstheme="minorHAnsi"/>
          <w:lang w:val="en-US"/>
        </w:rPr>
        <w:t xml:space="preserve">d when the policy was cancelled.  We continue this method with the dataset updates. </w:t>
      </w:r>
    </w:p>
    <w:bookmarkEnd w:id="25"/>
    <w:p w14:paraId="43DC658A" w14:textId="41390456" w:rsidR="00DB4997" w:rsidRDefault="0049018D" w:rsidP="0049018D">
      <w:pPr>
        <w:rPr>
          <w:rFonts w:cstheme="minorHAnsi"/>
          <w:lang w:val="en-US"/>
        </w:rPr>
      </w:pPr>
      <w:r w:rsidRPr="00524A62">
        <w:rPr>
          <w:rFonts w:cstheme="minorHAnsi"/>
          <w:lang w:val="en-US"/>
        </w:rPr>
        <w:t xml:space="preserve">Other support instruments instead set a threshold of support. For example, in </w:t>
      </w:r>
      <w:r w:rsidR="00C11751" w:rsidRPr="00524A62">
        <w:rPr>
          <w:rFonts w:cstheme="minorHAnsi"/>
          <w:lang w:val="en-US"/>
        </w:rPr>
        <w:t>grant</w:t>
      </w:r>
      <w:r w:rsidRPr="00524A62">
        <w:rPr>
          <w:rFonts w:cstheme="minorHAnsi"/>
          <w:lang w:val="en-US"/>
        </w:rPr>
        <w:t xml:space="preserve"> instruments the government may reimburse up to 30% of the total investment cost of </w:t>
      </w:r>
      <w:r w:rsidR="00033F42" w:rsidRPr="00524A62">
        <w:rPr>
          <w:rFonts w:cstheme="minorHAnsi"/>
          <w:lang w:val="en-US"/>
        </w:rPr>
        <w:t>a project</w:t>
      </w:r>
      <w:r w:rsidRPr="00524A62">
        <w:rPr>
          <w:rFonts w:cstheme="minorHAnsi"/>
          <w:lang w:val="en-US"/>
        </w:rPr>
        <w:t xml:space="preserve">. We </w:t>
      </w:r>
      <w:r w:rsidR="00033F42" w:rsidRPr="00524A62">
        <w:rPr>
          <w:rFonts w:cstheme="minorHAnsi"/>
          <w:lang w:val="en-US"/>
        </w:rPr>
        <w:t xml:space="preserve">record </w:t>
      </w:r>
      <w:r w:rsidR="00DB4997" w:rsidRPr="00524A62">
        <w:rPr>
          <w:rFonts w:cstheme="minorHAnsi"/>
          <w:lang w:val="en-US"/>
        </w:rPr>
        <w:t>this as ‘30’ in level_1, and then give information on the % type detail in level_1_</w:t>
      </w:r>
      <w:r w:rsidR="006A6962" w:rsidRPr="00524A62">
        <w:rPr>
          <w:rFonts w:cstheme="minorHAnsi"/>
          <w:lang w:val="en-US"/>
        </w:rPr>
        <w:t>unit</w:t>
      </w:r>
      <w:r w:rsidR="00DB4997" w:rsidRPr="00524A62">
        <w:rPr>
          <w:rFonts w:cstheme="minorHAnsi"/>
          <w:lang w:val="en-US"/>
        </w:rPr>
        <w:t xml:space="preserve">. </w:t>
      </w:r>
    </w:p>
    <w:p w14:paraId="74196CAF" w14:textId="0F028209" w:rsidR="009C60DF" w:rsidRPr="00524A62" w:rsidRDefault="009C60DF" w:rsidP="009C60DF">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6E06B1">
        <w:rPr>
          <w:noProof/>
          <w:lang w:val="en-US"/>
        </w:rPr>
        <w:t>12</w:t>
      </w:r>
      <w:r w:rsidRPr="00551268">
        <w:rPr>
          <w:noProof/>
          <w:lang w:val="en-US"/>
        </w:rPr>
        <w:fldChar w:fldCharType="end"/>
      </w:r>
      <w:r w:rsidRPr="00551268">
        <w:rPr>
          <w:lang w:val="en-US"/>
        </w:rPr>
        <w:t xml:space="preserve">: </w:t>
      </w:r>
      <w:r>
        <w:rPr>
          <w:lang w:val="en-US"/>
        </w:rPr>
        <w:t>Recording percentage</w:t>
      </w:r>
      <w:r w:rsidR="00C22F6D">
        <w:rPr>
          <w:lang w:val="en-US"/>
        </w:rPr>
        <w:t xml:space="preserve"> vs EUR support levels</w:t>
      </w:r>
    </w:p>
    <w:tbl>
      <w:tblPr>
        <w:tblStyle w:val="TableGrid"/>
        <w:tblW w:w="9101" w:type="dxa"/>
        <w:tblLook w:val="04A0" w:firstRow="1" w:lastRow="0" w:firstColumn="1" w:lastColumn="0" w:noHBand="0" w:noVBand="1"/>
      </w:tblPr>
      <w:tblGrid>
        <w:gridCol w:w="1554"/>
        <w:gridCol w:w="2224"/>
        <w:gridCol w:w="1012"/>
        <w:gridCol w:w="4311"/>
      </w:tblGrid>
      <w:tr w:rsidR="00DB4997" w:rsidRPr="00524A62" w14:paraId="49876865" w14:textId="77777777" w:rsidTr="005008EC">
        <w:trPr>
          <w:trHeight w:val="29"/>
        </w:trPr>
        <w:tc>
          <w:tcPr>
            <w:tcW w:w="1554" w:type="dxa"/>
          </w:tcPr>
          <w:p w14:paraId="22DB4240" w14:textId="77777777" w:rsidR="00DB4997" w:rsidRPr="00524A62" w:rsidRDefault="00DB4997" w:rsidP="0005606D">
            <w:pPr>
              <w:rPr>
                <w:rFonts w:cstheme="minorHAnsi"/>
                <w:b/>
                <w:bCs/>
                <w:sz w:val="20"/>
                <w:szCs w:val="20"/>
                <w:lang w:val="en-US"/>
              </w:rPr>
            </w:pPr>
            <w:r w:rsidRPr="00524A62">
              <w:rPr>
                <w:rFonts w:cstheme="minorHAnsi"/>
                <w:b/>
                <w:bCs/>
                <w:sz w:val="20"/>
                <w:szCs w:val="20"/>
                <w:lang w:val="en-US"/>
              </w:rPr>
              <w:t>measure</w:t>
            </w:r>
          </w:p>
        </w:tc>
        <w:tc>
          <w:tcPr>
            <w:tcW w:w="2224" w:type="dxa"/>
          </w:tcPr>
          <w:p w14:paraId="5089689E" w14:textId="489A22B4" w:rsidR="00DB4997" w:rsidRPr="00524A62" w:rsidRDefault="00A21A6A" w:rsidP="0005606D">
            <w:pPr>
              <w:rPr>
                <w:rFonts w:cstheme="minorHAnsi"/>
                <w:b/>
                <w:bCs/>
                <w:sz w:val="20"/>
                <w:szCs w:val="20"/>
                <w:lang w:val="en-US"/>
              </w:rPr>
            </w:pPr>
            <w:r w:rsidRPr="00524A62">
              <w:rPr>
                <w:rFonts w:cstheme="minorHAnsi"/>
                <w:b/>
                <w:bCs/>
                <w:sz w:val="20"/>
                <w:szCs w:val="20"/>
                <w:lang w:val="en-US"/>
              </w:rPr>
              <w:t>technology_</w:t>
            </w:r>
            <w:r w:rsidR="00AC375E" w:rsidRPr="00524A62">
              <w:rPr>
                <w:rFonts w:cstheme="minorHAnsi"/>
                <w:b/>
                <w:bCs/>
                <w:sz w:val="20"/>
                <w:szCs w:val="20"/>
                <w:lang w:val="en-US"/>
              </w:rPr>
              <w:t>type</w:t>
            </w:r>
          </w:p>
        </w:tc>
        <w:tc>
          <w:tcPr>
            <w:tcW w:w="1012" w:type="dxa"/>
          </w:tcPr>
          <w:p w14:paraId="427F474C" w14:textId="77777777" w:rsidR="00DB4997" w:rsidRPr="00524A62" w:rsidRDefault="00DB4997" w:rsidP="0005606D">
            <w:pPr>
              <w:rPr>
                <w:rFonts w:cstheme="minorHAnsi"/>
                <w:b/>
                <w:bCs/>
                <w:sz w:val="20"/>
                <w:szCs w:val="20"/>
                <w:lang w:val="en-US"/>
              </w:rPr>
            </w:pPr>
            <w:r w:rsidRPr="00524A62">
              <w:rPr>
                <w:rFonts w:cstheme="minorHAnsi"/>
                <w:b/>
                <w:bCs/>
                <w:sz w:val="20"/>
                <w:szCs w:val="20"/>
                <w:lang w:val="en-US"/>
              </w:rPr>
              <w:t>lvl_1</w:t>
            </w:r>
          </w:p>
        </w:tc>
        <w:tc>
          <w:tcPr>
            <w:tcW w:w="4311" w:type="dxa"/>
          </w:tcPr>
          <w:p w14:paraId="22AC5D63" w14:textId="7A991EAE" w:rsidR="00DB4997" w:rsidRPr="00524A62" w:rsidRDefault="00DB4997" w:rsidP="0005606D">
            <w:pPr>
              <w:rPr>
                <w:rFonts w:cstheme="minorHAnsi"/>
                <w:b/>
                <w:bCs/>
                <w:sz w:val="20"/>
                <w:szCs w:val="20"/>
                <w:lang w:val="en-US"/>
              </w:rPr>
            </w:pPr>
            <w:r w:rsidRPr="00524A62">
              <w:rPr>
                <w:rFonts w:cstheme="minorHAnsi"/>
                <w:b/>
                <w:bCs/>
                <w:sz w:val="20"/>
                <w:szCs w:val="20"/>
                <w:lang w:val="en-US"/>
              </w:rPr>
              <w:t>level_1_</w:t>
            </w:r>
            <w:r w:rsidR="006A6962" w:rsidRPr="00524A62">
              <w:rPr>
                <w:rFonts w:cstheme="minorHAnsi"/>
                <w:b/>
                <w:bCs/>
                <w:sz w:val="20"/>
                <w:szCs w:val="20"/>
                <w:lang w:val="en-US"/>
              </w:rPr>
              <w:t>unit</w:t>
            </w:r>
          </w:p>
        </w:tc>
      </w:tr>
      <w:tr w:rsidR="00DB4997" w:rsidRPr="00524A62" w14:paraId="1450F842" w14:textId="77777777" w:rsidTr="005008EC">
        <w:trPr>
          <w:trHeight w:val="61"/>
        </w:trPr>
        <w:tc>
          <w:tcPr>
            <w:tcW w:w="1554" w:type="dxa"/>
          </w:tcPr>
          <w:p w14:paraId="6ABCC4D4" w14:textId="60751DA5" w:rsidR="00DB4997" w:rsidRPr="00524A62" w:rsidRDefault="00C11751" w:rsidP="0005606D">
            <w:pPr>
              <w:rPr>
                <w:rFonts w:cstheme="minorHAnsi"/>
                <w:sz w:val="20"/>
                <w:szCs w:val="20"/>
                <w:lang w:val="en-US"/>
              </w:rPr>
            </w:pPr>
            <w:r w:rsidRPr="00524A62">
              <w:rPr>
                <w:rFonts w:cstheme="minorHAnsi"/>
                <w:sz w:val="20"/>
                <w:szCs w:val="20"/>
                <w:lang w:val="en-US"/>
              </w:rPr>
              <w:t>grant</w:t>
            </w:r>
          </w:p>
        </w:tc>
        <w:tc>
          <w:tcPr>
            <w:tcW w:w="2224" w:type="dxa"/>
          </w:tcPr>
          <w:p w14:paraId="66D7E68F" w14:textId="77777777" w:rsidR="00DB4997" w:rsidRPr="00524A62" w:rsidRDefault="00DB4997" w:rsidP="0005606D">
            <w:pPr>
              <w:rPr>
                <w:rFonts w:cstheme="minorHAnsi"/>
                <w:sz w:val="20"/>
                <w:szCs w:val="20"/>
                <w:lang w:val="en-US"/>
              </w:rPr>
            </w:pPr>
            <w:r w:rsidRPr="00524A62">
              <w:rPr>
                <w:rFonts w:cstheme="minorHAnsi"/>
                <w:sz w:val="20"/>
                <w:szCs w:val="20"/>
                <w:lang w:val="en-US"/>
              </w:rPr>
              <w:t>Charging infrastructure</w:t>
            </w:r>
          </w:p>
        </w:tc>
        <w:tc>
          <w:tcPr>
            <w:tcW w:w="1012" w:type="dxa"/>
          </w:tcPr>
          <w:p w14:paraId="03B4EB39" w14:textId="01312289" w:rsidR="00DB4997" w:rsidRPr="00524A62" w:rsidRDefault="00DB4997" w:rsidP="0005606D">
            <w:pPr>
              <w:rPr>
                <w:rFonts w:cstheme="minorHAnsi"/>
                <w:sz w:val="20"/>
                <w:szCs w:val="20"/>
                <w:lang w:val="en-US"/>
              </w:rPr>
            </w:pPr>
            <w:r w:rsidRPr="00524A62">
              <w:rPr>
                <w:rFonts w:cstheme="minorHAnsi"/>
                <w:sz w:val="20"/>
                <w:szCs w:val="20"/>
                <w:lang w:val="en-US"/>
              </w:rPr>
              <w:t>30</w:t>
            </w:r>
          </w:p>
        </w:tc>
        <w:tc>
          <w:tcPr>
            <w:tcW w:w="4311" w:type="dxa"/>
          </w:tcPr>
          <w:p w14:paraId="5EEBBA25" w14:textId="113FBD4B" w:rsidR="00DB4997" w:rsidRPr="00524A62" w:rsidRDefault="00DB4997" w:rsidP="0005606D">
            <w:pPr>
              <w:rPr>
                <w:rFonts w:cstheme="minorHAnsi"/>
                <w:sz w:val="20"/>
                <w:szCs w:val="20"/>
                <w:lang w:val="en-US"/>
              </w:rPr>
            </w:pPr>
            <w:r w:rsidRPr="00524A62">
              <w:rPr>
                <w:rFonts w:cstheme="minorHAnsi"/>
                <w:sz w:val="20"/>
                <w:szCs w:val="20"/>
                <w:lang w:val="en-US"/>
              </w:rPr>
              <w:t>% total project cost</w:t>
            </w:r>
          </w:p>
        </w:tc>
      </w:tr>
      <w:tr w:rsidR="00C22F6D" w:rsidRPr="00524A62" w14:paraId="58EF3591" w14:textId="77777777" w:rsidTr="005008EC">
        <w:trPr>
          <w:trHeight w:val="61"/>
        </w:trPr>
        <w:tc>
          <w:tcPr>
            <w:tcW w:w="1554" w:type="dxa"/>
          </w:tcPr>
          <w:p w14:paraId="4331388C" w14:textId="30CB0526" w:rsidR="00C22F6D" w:rsidRPr="00524A62" w:rsidRDefault="00C22F6D" w:rsidP="0005606D">
            <w:pPr>
              <w:rPr>
                <w:rFonts w:cstheme="minorHAnsi"/>
                <w:sz w:val="20"/>
                <w:szCs w:val="20"/>
                <w:lang w:val="en-US"/>
              </w:rPr>
            </w:pPr>
            <w:r>
              <w:rPr>
                <w:rFonts w:cstheme="minorHAnsi"/>
                <w:sz w:val="20"/>
                <w:szCs w:val="20"/>
                <w:lang w:val="en-US"/>
              </w:rPr>
              <w:t>grant</w:t>
            </w:r>
          </w:p>
        </w:tc>
        <w:tc>
          <w:tcPr>
            <w:tcW w:w="2224" w:type="dxa"/>
          </w:tcPr>
          <w:p w14:paraId="5253396F" w14:textId="2E533243" w:rsidR="00C22F6D" w:rsidRPr="00524A62" w:rsidRDefault="002C4F4C" w:rsidP="0005606D">
            <w:pPr>
              <w:rPr>
                <w:rFonts w:cstheme="minorHAnsi"/>
                <w:sz w:val="20"/>
                <w:szCs w:val="20"/>
                <w:lang w:val="en-US"/>
              </w:rPr>
            </w:pPr>
            <w:r>
              <w:rPr>
                <w:rFonts w:cstheme="minorHAnsi"/>
                <w:sz w:val="20"/>
                <w:szCs w:val="20"/>
                <w:lang w:val="en-US"/>
              </w:rPr>
              <w:t>Electric vehicle</w:t>
            </w:r>
          </w:p>
        </w:tc>
        <w:tc>
          <w:tcPr>
            <w:tcW w:w="1012" w:type="dxa"/>
          </w:tcPr>
          <w:p w14:paraId="5DCF4AB6" w14:textId="59B06174" w:rsidR="00C22F6D" w:rsidRPr="00524A62" w:rsidRDefault="00C22F6D" w:rsidP="0005606D">
            <w:pPr>
              <w:rPr>
                <w:rFonts w:cstheme="minorHAnsi"/>
                <w:sz w:val="20"/>
                <w:szCs w:val="20"/>
                <w:lang w:val="en-US"/>
              </w:rPr>
            </w:pPr>
            <w:r>
              <w:rPr>
                <w:rFonts w:cstheme="minorHAnsi"/>
                <w:sz w:val="20"/>
                <w:szCs w:val="20"/>
                <w:lang w:val="en-US"/>
              </w:rPr>
              <w:t>500</w:t>
            </w:r>
          </w:p>
        </w:tc>
        <w:tc>
          <w:tcPr>
            <w:tcW w:w="4311" w:type="dxa"/>
          </w:tcPr>
          <w:p w14:paraId="74721DD4" w14:textId="5D681960" w:rsidR="00C22F6D" w:rsidRPr="00524A62" w:rsidRDefault="002C4F4C" w:rsidP="0005606D">
            <w:pPr>
              <w:rPr>
                <w:rFonts w:cstheme="minorHAnsi"/>
                <w:sz w:val="20"/>
                <w:szCs w:val="20"/>
                <w:lang w:val="en-US"/>
              </w:rPr>
            </w:pPr>
            <w:r>
              <w:rPr>
                <w:rFonts w:cstheme="minorHAnsi"/>
                <w:sz w:val="20"/>
                <w:szCs w:val="20"/>
                <w:lang w:val="en-US"/>
              </w:rPr>
              <w:t>EUR per vehicle</w:t>
            </w:r>
          </w:p>
        </w:tc>
      </w:tr>
    </w:tbl>
    <w:p w14:paraId="0150B527" w14:textId="77777777" w:rsidR="0049018D" w:rsidRPr="00524A62" w:rsidRDefault="0049018D" w:rsidP="0049018D">
      <w:pPr>
        <w:rPr>
          <w:rFonts w:cstheme="minorHAnsi"/>
          <w:lang w:val="en-US"/>
        </w:rPr>
      </w:pPr>
    </w:p>
    <w:p w14:paraId="10423CFD" w14:textId="0DC0A090" w:rsidR="0049018D" w:rsidRPr="00524A62" w:rsidRDefault="0049018D" w:rsidP="0049018D">
      <w:pPr>
        <w:rPr>
          <w:rFonts w:cstheme="minorHAnsi"/>
          <w:lang w:val="en-US"/>
        </w:rPr>
      </w:pPr>
      <w:r w:rsidRPr="00524A62">
        <w:rPr>
          <w:rFonts w:cstheme="minorHAnsi"/>
          <w:lang w:val="en-US"/>
        </w:rPr>
        <w:t>In many cases, a range is given for the support percent (</w:t>
      </w:r>
      <w:r w:rsidR="005A02AB" w:rsidRPr="00524A62">
        <w:rPr>
          <w:rFonts w:cstheme="minorHAnsi"/>
          <w:lang w:val="en-US"/>
        </w:rPr>
        <w:t>i.e.,</w:t>
      </w:r>
      <w:r w:rsidRPr="00524A62">
        <w:rPr>
          <w:rFonts w:cstheme="minorHAnsi"/>
          <w:lang w:val="en-US"/>
        </w:rPr>
        <w:t xml:space="preserve"> 50-70%) without any clear conditions for what ranges of support depend on which conditions. </w:t>
      </w:r>
      <w:r w:rsidR="00DB4997" w:rsidRPr="00524A62">
        <w:rPr>
          <w:rFonts w:cstheme="minorHAnsi"/>
          <w:lang w:val="en-US"/>
        </w:rPr>
        <w:t xml:space="preserve">If there is no information on conditions, we </w:t>
      </w:r>
      <w:r w:rsidRPr="00524A62">
        <w:rPr>
          <w:rFonts w:cstheme="minorHAnsi"/>
          <w:lang w:val="en-US"/>
        </w:rPr>
        <w:t xml:space="preserve">record the highest support percent available in the “level_percent” column and add further information in </w:t>
      </w:r>
      <w:r w:rsidR="00A00397" w:rsidRPr="00524A62">
        <w:rPr>
          <w:rFonts w:cstheme="minorHAnsi"/>
          <w:lang w:val="en-US"/>
        </w:rPr>
        <w:t>notes</w:t>
      </w:r>
      <w:r w:rsidRPr="00524A62">
        <w:rPr>
          <w:rFonts w:cstheme="minorHAnsi"/>
          <w:lang w:val="en-US"/>
        </w:rPr>
        <w:t xml:space="preserve">. </w:t>
      </w:r>
      <w:r w:rsidR="008169A1" w:rsidRPr="00524A62">
        <w:rPr>
          <w:rFonts w:cstheme="minorHAnsi"/>
          <w:lang w:val="en-US"/>
        </w:rPr>
        <w:t>The exception to this is if there is a different support amount between regions, in which case we record the average</w:t>
      </w:r>
      <w:r w:rsidR="004B2C7C" w:rsidRPr="00524A62">
        <w:rPr>
          <w:rFonts w:cstheme="minorHAnsi"/>
          <w:lang w:val="en-US"/>
        </w:rPr>
        <w:t xml:space="preserve"> and add further information in </w:t>
      </w:r>
      <w:r w:rsidR="00A00397" w:rsidRPr="00524A62">
        <w:rPr>
          <w:rFonts w:cstheme="minorHAnsi"/>
          <w:lang w:val="en-US"/>
        </w:rPr>
        <w:t>notes</w:t>
      </w:r>
      <w:r w:rsidR="008169A1" w:rsidRPr="00524A62">
        <w:rPr>
          <w:rFonts w:cstheme="minorHAnsi"/>
          <w:lang w:val="en-US"/>
        </w:rPr>
        <w:t>.</w:t>
      </w:r>
    </w:p>
    <w:p w14:paraId="2354CB1B" w14:textId="0700A23F" w:rsidR="00D839C6" w:rsidRDefault="0049018D" w:rsidP="00A17BF6">
      <w:pPr>
        <w:rPr>
          <w:rFonts w:cstheme="minorHAnsi"/>
          <w:lang w:val="en-US" w:eastAsia="en-IN"/>
        </w:rPr>
      </w:pPr>
      <w:r w:rsidRPr="00524A62">
        <w:rPr>
          <w:rFonts w:cstheme="minorHAnsi"/>
          <w:lang w:val="en-US"/>
        </w:rPr>
        <w:t xml:space="preserve">Below is a summary table of the different kinds of support levels, and how they are recorded. </w:t>
      </w:r>
      <w:r w:rsidRPr="00524A62">
        <w:rPr>
          <w:rFonts w:cstheme="minorHAnsi"/>
          <w:lang w:val="en-US" w:eastAsia="en-IN"/>
        </w:rPr>
        <w:t xml:space="preserve">The common </w:t>
      </w:r>
      <w:r w:rsidRPr="00524A62">
        <w:rPr>
          <w:rFonts w:cstheme="minorHAnsi"/>
          <w:b/>
          <w:bCs/>
          <w:lang w:val="en-US" w:eastAsia="en-IN"/>
        </w:rPr>
        <w:t>“level_”</w:t>
      </w:r>
      <w:r w:rsidRPr="00524A62">
        <w:rPr>
          <w:rFonts w:cstheme="minorHAnsi"/>
          <w:lang w:val="en-US" w:eastAsia="en-IN"/>
        </w:rPr>
        <w:t xml:space="preserve"> identifier records the level of support as described in the policy documents. </w:t>
      </w:r>
    </w:p>
    <w:p w14:paraId="38DAECC2" w14:textId="7CCB16C4" w:rsidR="00D839C6" w:rsidRPr="00551268" w:rsidRDefault="00D839C6" w:rsidP="00D839C6">
      <w:pPr>
        <w:pStyle w:val="Caption"/>
        <w:rPr>
          <w:rFonts w:cstheme="minorHAnsi"/>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6E06B1">
        <w:rPr>
          <w:noProof/>
          <w:lang w:val="en-US"/>
        </w:rPr>
        <w:t>13</w:t>
      </w:r>
      <w:r w:rsidRPr="00551268">
        <w:rPr>
          <w:noProof/>
          <w:lang w:val="en-US"/>
        </w:rPr>
        <w:fldChar w:fldCharType="end"/>
      </w:r>
      <w:r w:rsidRPr="00551268">
        <w:rPr>
          <w:lang w:val="en-US"/>
        </w:rPr>
        <w:t xml:space="preserve">: </w:t>
      </w:r>
      <w:r>
        <w:rPr>
          <w:lang w:val="en-US"/>
        </w:rPr>
        <w:t>Support level variables</w:t>
      </w:r>
    </w:p>
    <w:tbl>
      <w:tblPr>
        <w:tblStyle w:val="TableGrid"/>
        <w:tblW w:w="0" w:type="auto"/>
        <w:tblLayout w:type="fixed"/>
        <w:tblLook w:val="04A0" w:firstRow="1" w:lastRow="0" w:firstColumn="1" w:lastColumn="0" w:noHBand="0" w:noVBand="1"/>
      </w:tblPr>
      <w:tblGrid>
        <w:gridCol w:w="1838"/>
        <w:gridCol w:w="3260"/>
        <w:gridCol w:w="3964"/>
      </w:tblGrid>
      <w:tr w:rsidR="0049018D" w:rsidRPr="00524A62" w14:paraId="59CBA6E8" w14:textId="77777777" w:rsidTr="00EF0B89">
        <w:trPr>
          <w:trHeight w:val="144"/>
        </w:trPr>
        <w:tc>
          <w:tcPr>
            <w:tcW w:w="1838" w:type="dxa"/>
            <w:noWrap/>
            <w:hideMark/>
          </w:tcPr>
          <w:p w14:paraId="02D2FA09" w14:textId="77777777" w:rsidR="0049018D" w:rsidRPr="00524A62" w:rsidRDefault="0049018D" w:rsidP="0005606D">
            <w:pPr>
              <w:rPr>
                <w:rFonts w:cstheme="minorHAnsi"/>
                <w:lang w:val="en-US"/>
              </w:rPr>
            </w:pPr>
            <w:r w:rsidRPr="00524A62">
              <w:rPr>
                <w:rFonts w:cstheme="minorHAnsi"/>
                <w:b/>
                <w:bCs/>
                <w:lang w:val="en-US" w:eastAsia="en-IN"/>
              </w:rPr>
              <w:t>Variable name</w:t>
            </w:r>
          </w:p>
        </w:tc>
        <w:tc>
          <w:tcPr>
            <w:tcW w:w="3260" w:type="dxa"/>
            <w:noWrap/>
            <w:hideMark/>
          </w:tcPr>
          <w:p w14:paraId="72CECB90" w14:textId="77777777" w:rsidR="0049018D" w:rsidRPr="00524A62" w:rsidRDefault="0049018D" w:rsidP="0005606D">
            <w:pPr>
              <w:rPr>
                <w:rFonts w:cstheme="minorHAnsi"/>
                <w:lang w:val="en-US"/>
              </w:rPr>
            </w:pPr>
            <w:r w:rsidRPr="00524A62">
              <w:rPr>
                <w:rFonts w:cstheme="minorHAnsi"/>
                <w:b/>
                <w:bCs/>
                <w:lang w:val="en-US" w:eastAsia="en-IN"/>
              </w:rPr>
              <w:t>Description</w:t>
            </w:r>
          </w:p>
        </w:tc>
        <w:tc>
          <w:tcPr>
            <w:tcW w:w="3964" w:type="dxa"/>
            <w:noWrap/>
            <w:hideMark/>
          </w:tcPr>
          <w:p w14:paraId="0264382C" w14:textId="77777777" w:rsidR="0049018D" w:rsidRPr="00524A62" w:rsidRDefault="0049018D" w:rsidP="0005606D">
            <w:pPr>
              <w:rPr>
                <w:rFonts w:cstheme="minorHAnsi"/>
                <w:lang w:val="en-US"/>
              </w:rPr>
            </w:pPr>
            <w:r w:rsidRPr="00524A62">
              <w:rPr>
                <w:rFonts w:cstheme="minorHAnsi"/>
                <w:b/>
                <w:bCs/>
                <w:lang w:val="en-US" w:eastAsia="en-IN"/>
              </w:rPr>
              <w:t>Sample values</w:t>
            </w:r>
          </w:p>
        </w:tc>
      </w:tr>
      <w:tr w:rsidR="0049018D" w:rsidRPr="00524A62" w14:paraId="0776AB30" w14:textId="77777777" w:rsidTr="00EF0B89">
        <w:trPr>
          <w:trHeight w:val="144"/>
        </w:trPr>
        <w:tc>
          <w:tcPr>
            <w:tcW w:w="1838" w:type="dxa"/>
            <w:noWrap/>
            <w:hideMark/>
          </w:tcPr>
          <w:p w14:paraId="74CEF197" w14:textId="77777777" w:rsidR="0049018D" w:rsidRPr="00524A62" w:rsidRDefault="0049018D" w:rsidP="0005606D">
            <w:pPr>
              <w:rPr>
                <w:rFonts w:cstheme="minorHAnsi"/>
                <w:lang w:val="en-US"/>
              </w:rPr>
            </w:pPr>
            <w:r w:rsidRPr="00524A62">
              <w:rPr>
                <w:rFonts w:cstheme="minorHAnsi"/>
                <w:lang w:val="en-US"/>
              </w:rPr>
              <w:t>level_1</w:t>
            </w:r>
          </w:p>
        </w:tc>
        <w:tc>
          <w:tcPr>
            <w:tcW w:w="3260" w:type="dxa"/>
            <w:noWrap/>
            <w:hideMark/>
          </w:tcPr>
          <w:p w14:paraId="4217207F" w14:textId="77777777" w:rsidR="0049018D" w:rsidRPr="00524A62" w:rsidRDefault="0049018D" w:rsidP="0005606D">
            <w:pPr>
              <w:rPr>
                <w:rFonts w:cstheme="minorHAnsi"/>
                <w:lang w:val="en-US"/>
              </w:rPr>
            </w:pPr>
            <w:r w:rsidRPr="00524A62">
              <w:rPr>
                <w:rFonts w:cstheme="minorHAnsi"/>
                <w:lang w:val="en-US" w:eastAsia="en-IN"/>
              </w:rPr>
              <w:t>The amount of support granted</w:t>
            </w:r>
          </w:p>
        </w:tc>
        <w:tc>
          <w:tcPr>
            <w:tcW w:w="3964" w:type="dxa"/>
            <w:noWrap/>
            <w:hideMark/>
          </w:tcPr>
          <w:p w14:paraId="0C467EAF" w14:textId="77777777" w:rsidR="0049018D" w:rsidRPr="00524A62" w:rsidRDefault="0049018D" w:rsidP="0005606D">
            <w:pPr>
              <w:rPr>
                <w:rFonts w:cstheme="minorHAnsi"/>
                <w:lang w:val="en-US"/>
              </w:rPr>
            </w:pPr>
            <w:r w:rsidRPr="00524A62">
              <w:rPr>
                <w:rFonts w:cstheme="minorHAnsi"/>
                <w:lang w:val="en-US"/>
              </w:rPr>
              <w:t>Numeric</w:t>
            </w:r>
          </w:p>
        </w:tc>
      </w:tr>
      <w:tr w:rsidR="0049018D" w:rsidRPr="00524A62" w14:paraId="626E61A4" w14:textId="77777777" w:rsidTr="00EF0B89">
        <w:trPr>
          <w:trHeight w:val="144"/>
        </w:trPr>
        <w:tc>
          <w:tcPr>
            <w:tcW w:w="1838" w:type="dxa"/>
            <w:noWrap/>
            <w:hideMark/>
          </w:tcPr>
          <w:p w14:paraId="6E91F8F9" w14:textId="77777777" w:rsidR="0049018D" w:rsidRPr="00524A62" w:rsidRDefault="0049018D" w:rsidP="0005606D">
            <w:pPr>
              <w:rPr>
                <w:rFonts w:cstheme="minorHAnsi"/>
                <w:lang w:val="en-US"/>
              </w:rPr>
            </w:pPr>
            <w:r w:rsidRPr="00524A62">
              <w:rPr>
                <w:rFonts w:cstheme="minorHAnsi"/>
                <w:lang w:val="en-US"/>
              </w:rPr>
              <w:t xml:space="preserve">level_1_currency </w:t>
            </w:r>
          </w:p>
        </w:tc>
        <w:tc>
          <w:tcPr>
            <w:tcW w:w="3260" w:type="dxa"/>
            <w:noWrap/>
          </w:tcPr>
          <w:p w14:paraId="71094C8F" w14:textId="4216E0F1" w:rsidR="0049018D" w:rsidRPr="00524A62" w:rsidRDefault="0049018D" w:rsidP="0005606D">
            <w:pPr>
              <w:rPr>
                <w:rFonts w:cstheme="minorHAnsi"/>
                <w:lang w:val="en-US"/>
              </w:rPr>
            </w:pPr>
            <w:r w:rsidRPr="00524A62">
              <w:rPr>
                <w:rFonts w:cstheme="minorHAnsi"/>
                <w:lang w:val="en-US" w:eastAsia="en-IN"/>
              </w:rPr>
              <w:t>The currency</w:t>
            </w:r>
            <w:r w:rsidR="00FA2BE0" w:rsidRPr="00524A62">
              <w:rPr>
                <w:rFonts w:cstheme="minorHAnsi"/>
                <w:lang w:val="en-US" w:eastAsia="en-IN"/>
              </w:rPr>
              <w:t xml:space="preserve"> of the support level</w:t>
            </w:r>
          </w:p>
        </w:tc>
        <w:tc>
          <w:tcPr>
            <w:tcW w:w="3964" w:type="dxa"/>
            <w:noWrap/>
            <w:hideMark/>
          </w:tcPr>
          <w:p w14:paraId="0CCAFD91" w14:textId="4159FF31" w:rsidR="0049018D" w:rsidRPr="00524A62" w:rsidRDefault="0049018D" w:rsidP="0005606D">
            <w:pPr>
              <w:rPr>
                <w:rFonts w:cstheme="minorHAnsi"/>
                <w:lang w:val="en-US"/>
              </w:rPr>
            </w:pPr>
            <w:r w:rsidRPr="00524A62">
              <w:rPr>
                <w:rFonts w:cstheme="minorHAnsi"/>
                <w:lang w:val="en-US"/>
              </w:rPr>
              <w:t>EUR</w:t>
            </w:r>
          </w:p>
        </w:tc>
      </w:tr>
      <w:tr w:rsidR="0049018D" w:rsidRPr="008D4356" w14:paraId="5ED28EFF" w14:textId="77777777" w:rsidTr="00EF0B89">
        <w:trPr>
          <w:trHeight w:val="144"/>
        </w:trPr>
        <w:tc>
          <w:tcPr>
            <w:tcW w:w="1838" w:type="dxa"/>
            <w:noWrap/>
            <w:hideMark/>
          </w:tcPr>
          <w:p w14:paraId="7A6590C2" w14:textId="77777777" w:rsidR="0049018D" w:rsidRPr="00524A62" w:rsidRDefault="0049018D" w:rsidP="0005606D">
            <w:pPr>
              <w:rPr>
                <w:rFonts w:cstheme="minorHAnsi"/>
                <w:lang w:val="en-US"/>
              </w:rPr>
            </w:pPr>
            <w:r w:rsidRPr="00524A62">
              <w:rPr>
                <w:rFonts w:cstheme="minorHAnsi"/>
                <w:lang w:val="en-US"/>
              </w:rPr>
              <w:t>level_1_unit</w:t>
            </w:r>
          </w:p>
        </w:tc>
        <w:tc>
          <w:tcPr>
            <w:tcW w:w="3260" w:type="dxa"/>
            <w:noWrap/>
          </w:tcPr>
          <w:p w14:paraId="256F5292" w14:textId="77777777" w:rsidR="0049018D" w:rsidRPr="00524A62" w:rsidRDefault="0049018D" w:rsidP="0005606D">
            <w:pPr>
              <w:rPr>
                <w:rFonts w:cstheme="minorHAnsi"/>
                <w:lang w:val="en-US"/>
              </w:rPr>
            </w:pPr>
            <w:r w:rsidRPr="00524A62">
              <w:rPr>
                <w:rFonts w:cstheme="minorHAnsi"/>
                <w:lang w:val="en-US" w:eastAsia="en-IN"/>
              </w:rPr>
              <w:t>The unit that is granted the level of support</w:t>
            </w:r>
          </w:p>
        </w:tc>
        <w:tc>
          <w:tcPr>
            <w:tcW w:w="3964" w:type="dxa"/>
            <w:noWrap/>
            <w:hideMark/>
          </w:tcPr>
          <w:p w14:paraId="3ABF7AB0" w14:textId="778B0A4A" w:rsidR="0049018D" w:rsidRPr="00524A62" w:rsidRDefault="0049018D" w:rsidP="0005606D">
            <w:pPr>
              <w:rPr>
                <w:rFonts w:cstheme="minorHAnsi"/>
                <w:lang w:val="en-US"/>
              </w:rPr>
            </w:pPr>
            <w:r w:rsidRPr="00524A62">
              <w:rPr>
                <w:rFonts w:cstheme="minorHAnsi"/>
                <w:lang w:val="en-US"/>
              </w:rPr>
              <w:t>kWh, tCO2 equivalent, kWp, kW, tCO2, kWh, per project, % of investment</w:t>
            </w:r>
            <w:r w:rsidR="007D0C1D" w:rsidRPr="00524A62">
              <w:rPr>
                <w:rFonts w:cstheme="minorHAnsi"/>
                <w:lang w:val="en-US"/>
              </w:rPr>
              <w:t>, etc.</w:t>
            </w:r>
          </w:p>
        </w:tc>
      </w:tr>
      <w:tr w:rsidR="0049018D" w:rsidRPr="00524A62" w14:paraId="61D9AA1A" w14:textId="77777777" w:rsidTr="00EF0B89">
        <w:trPr>
          <w:trHeight w:val="144"/>
        </w:trPr>
        <w:tc>
          <w:tcPr>
            <w:tcW w:w="1838" w:type="dxa"/>
            <w:noWrap/>
          </w:tcPr>
          <w:p w14:paraId="4EC4BD67" w14:textId="77777777" w:rsidR="0049018D" w:rsidRPr="00524A62" w:rsidRDefault="0049018D" w:rsidP="0005606D">
            <w:pPr>
              <w:rPr>
                <w:rFonts w:cstheme="minorHAnsi"/>
                <w:lang w:val="en-US"/>
              </w:rPr>
            </w:pPr>
            <w:r w:rsidRPr="00524A62">
              <w:rPr>
                <w:rFonts w:cstheme="minorHAnsi"/>
                <w:lang w:val="en-US"/>
              </w:rPr>
              <w:t>level_2</w:t>
            </w:r>
          </w:p>
        </w:tc>
        <w:tc>
          <w:tcPr>
            <w:tcW w:w="3260" w:type="dxa"/>
            <w:noWrap/>
          </w:tcPr>
          <w:p w14:paraId="6CA3006B" w14:textId="77777777" w:rsidR="0049018D" w:rsidRPr="00524A62" w:rsidRDefault="0049018D" w:rsidP="0005606D">
            <w:pPr>
              <w:rPr>
                <w:rFonts w:cstheme="minorHAnsi"/>
                <w:lang w:val="en-US" w:eastAsia="en-IN"/>
              </w:rPr>
            </w:pPr>
            <w:r w:rsidRPr="00524A62">
              <w:rPr>
                <w:rFonts w:cstheme="minorHAnsi"/>
                <w:lang w:val="en-US" w:eastAsia="en-IN"/>
              </w:rPr>
              <w:t>as above</w:t>
            </w:r>
          </w:p>
        </w:tc>
        <w:tc>
          <w:tcPr>
            <w:tcW w:w="3964" w:type="dxa"/>
            <w:noWrap/>
          </w:tcPr>
          <w:p w14:paraId="4453E735" w14:textId="77777777" w:rsidR="0049018D" w:rsidRPr="00524A62" w:rsidRDefault="0049018D" w:rsidP="0005606D">
            <w:pPr>
              <w:rPr>
                <w:rFonts w:cstheme="minorHAnsi"/>
                <w:lang w:val="en-US"/>
              </w:rPr>
            </w:pPr>
            <w:r w:rsidRPr="00524A62">
              <w:rPr>
                <w:rFonts w:cstheme="minorHAnsi"/>
                <w:lang w:val="en-US"/>
              </w:rPr>
              <w:t>as above</w:t>
            </w:r>
          </w:p>
        </w:tc>
      </w:tr>
      <w:tr w:rsidR="004508CB" w:rsidRPr="00524A62" w14:paraId="69F5E4FB" w14:textId="77777777" w:rsidTr="00EF0B89">
        <w:trPr>
          <w:trHeight w:val="144"/>
        </w:trPr>
        <w:tc>
          <w:tcPr>
            <w:tcW w:w="1838" w:type="dxa"/>
            <w:noWrap/>
          </w:tcPr>
          <w:p w14:paraId="69D30EEC" w14:textId="3E883D0F" w:rsidR="004508CB" w:rsidRPr="00524A62" w:rsidRDefault="004508CB" w:rsidP="0005606D">
            <w:pPr>
              <w:rPr>
                <w:rFonts w:cstheme="minorHAnsi"/>
                <w:lang w:val="en-US"/>
              </w:rPr>
            </w:pPr>
            <w:r w:rsidRPr="00524A62">
              <w:rPr>
                <w:rFonts w:cstheme="minorHAnsi"/>
                <w:lang w:val="en-US"/>
              </w:rPr>
              <w:t>level_3…</w:t>
            </w:r>
            <w:r w:rsidR="00144A48" w:rsidRPr="00524A62">
              <w:rPr>
                <w:rFonts w:cstheme="minorHAnsi"/>
                <w:lang w:val="en-US"/>
              </w:rPr>
              <w:t>5</w:t>
            </w:r>
          </w:p>
        </w:tc>
        <w:tc>
          <w:tcPr>
            <w:tcW w:w="3260" w:type="dxa"/>
            <w:noWrap/>
          </w:tcPr>
          <w:p w14:paraId="60F05810" w14:textId="55CD5A5E" w:rsidR="004508CB" w:rsidRPr="00524A62" w:rsidRDefault="004508CB" w:rsidP="0005606D">
            <w:pPr>
              <w:rPr>
                <w:rFonts w:cstheme="minorHAnsi"/>
                <w:lang w:val="en-US" w:eastAsia="en-IN"/>
              </w:rPr>
            </w:pPr>
            <w:r w:rsidRPr="00524A62">
              <w:rPr>
                <w:rFonts w:cstheme="minorHAnsi"/>
                <w:lang w:val="en-US" w:eastAsia="en-IN"/>
              </w:rPr>
              <w:t>as above</w:t>
            </w:r>
          </w:p>
        </w:tc>
        <w:tc>
          <w:tcPr>
            <w:tcW w:w="3964" w:type="dxa"/>
            <w:noWrap/>
          </w:tcPr>
          <w:p w14:paraId="7F6F3FF7" w14:textId="48B610EF" w:rsidR="004508CB" w:rsidRPr="00524A62" w:rsidRDefault="004508CB" w:rsidP="0005606D">
            <w:pPr>
              <w:rPr>
                <w:rFonts w:cstheme="minorHAnsi"/>
                <w:lang w:val="en-US"/>
              </w:rPr>
            </w:pPr>
            <w:r w:rsidRPr="00524A62">
              <w:rPr>
                <w:rFonts w:cstheme="minorHAnsi"/>
                <w:lang w:val="en-US"/>
              </w:rPr>
              <w:t>as above</w:t>
            </w:r>
          </w:p>
        </w:tc>
      </w:tr>
    </w:tbl>
    <w:p w14:paraId="19A213B7" w14:textId="02642752" w:rsidR="0049018D" w:rsidRPr="00524A62" w:rsidRDefault="0049018D" w:rsidP="00EF0B89">
      <w:pPr>
        <w:pStyle w:val="Heading2"/>
        <w:rPr>
          <w:lang w:val="en-US" w:eastAsia="en-IN"/>
        </w:rPr>
      </w:pPr>
      <w:bookmarkStart w:id="26" w:name="_Toc219972875"/>
      <w:r w:rsidRPr="00524A62">
        <w:rPr>
          <w:lang w:val="en-US" w:eastAsia="en-IN"/>
        </w:rPr>
        <w:lastRenderedPageBreak/>
        <w:t xml:space="preserve">Support duration, </w:t>
      </w:r>
      <w:r w:rsidRPr="00524A62">
        <w:rPr>
          <w:lang w:val="en-US"/>
        </w:rPr>
        <w:t>cap</w:t>
      </w:r>
      <w:r w:rsidRPr="00524A62">
        <w:rPr>
          <w:lang w:val="en-US" w:eastAsia="en-IN"/>
        </w:rPr>
        <w:t>, and degression</w:t>
      </w:r>
      <w:bookmarkEnd w:id="26"/>
    </w:p>
    <w:p w14:paraId="79DB09A7" w14:textId="77777777" w:rsidR="0049018D" w:rsidRPr="00524A62" w:rsidRDefault="0049018D" w:rsidP="0049018D">
      <w:pPr>
        <w:rPr>
          <w:rFonts w:cstheme="minorHAnsi"/>
          <w:lang w:val="en-US" w:eastAsia="en-IN"/>
        </w:rPr>
      </w:pPr>
      <w:r w:rsidRPr="00524A62">
        <w:rPr>
          <w:rFonts w:cstheme="minorHAnsi"/>
          <w:lang w:val="en-US" w:eastAsia="en-IN"/>
        </w:rPr>
        <w:t xml:space="preserve">Some policies also determine the number of years that a project is eligible for support (for example a FIT is paid for 20 years). If this information is available, it is recorded under </w:t>
      </w:r>
      <w:r w:rsidRPr="00524A62">
        <w:rPr>
          <w:rFonts w:cstheme="minorHAnsi"/>
          <w:b/>
          <w:bCs/>
          <w:lang w:val="en-US" w:eastAsia="en-IN"/>
        </w:rPr>
        <w:t>support_duration</w:t>
      </w:r>
      <w:r w:rsidRPr="00524A62">
        <w:rPr>
          <w:rFonts w:cstheme="minorHAnsi"/>
          <w:lang w:val="en-US" w:eastAsia="en-IN"/>
        </w:rPr>
        <w:t xml:space="preserve">. If a project is supported for its entire lifetime, the support duration is recorded as 99 years. </w:t>
      </w:r>
    </w:p>
    <w:p w14:paraId="2224396F" w14:textId="77777777" w:rsidR="00EA5B8C" w:rsidRPr="00524A62" w:rsidRDefault="0049018D" w:rsidP="0049018D">
      <w:pPr>
        <w:rPr>
          <w:rFonts w:cstheme="minorHAnsi"/>
          <w:lang w:val="en-US" w:eastAsia="en-IN"/>
        </w:rPr>
      </w:pPr>
      <w:r w:rsidRPr="00524A62">
        <w:rPr>
          <w:rFonts w:cstheme="minorHAnsi"/>
          <w:lang w:val="en-US" w:eastAsia="en-IN"/>
        </w:rPr>
        <w:t>A slightly different concept is the</w:t>
      </w:r>
      <w:r w:rsidRPr="00524A62">
        <w:rPr>
          <w:rFonts w:cstheme="minorHAnsi"/>
          <w:b/>
          <w:bCs/>
          <w:lang w:val="en-US" w:eastAsia="en-IN"/>
        </w:rPr>
        <w:t xml:space="preserve"> cap</w:t>
      </w:r>
      <w:r w:rsidR="00EA5B8C" w:rsidRPr="00524A62">
        <w:rPr>
          <w:rFonts w:cstheme="minorHAnsi"/>
          <w:lang w:val="en-US" w:eastAsia="en-IN"/>
        </w:rPr>
        <w:t xml:space="preserve">, which is the maximum amount of support that will be given. (This differs from the level, in that the level is always the per unit amount: Euros per MWh, percent of project financed, etc.). </w:t>
      </w:r>
    </w:p>
    <w:p w14:paraId="630E3205" w14:textId="0886E727" w:rsidR="0049018D" w:rsidRPr="00524A62" w:rsidRDefault="0049018D" w:rsidP="0049018D">
      <w:pPr>
        <w:rPr>
          <w:rFonts w:cstheme="minorHAnsi"/>
          <w:lang w:val="en-US" w:eastAsia="en-IN"/>
        </w:rPr>
      </w:pPr>
      <w:r w:rsidRPr="00524A62">
        <w:rPr>
          <w:rFonts w:cstheme="minorHAnsi"/>
          <w:lang w:val="en-US" w:eastAsia="en-IN"/>
        </w:rPr>
        <w:t xml:space="preserve">For example, </w:t>
      </w:r>
      <w:r w:rsidR="00740B52" w:rsidRPr="00524A62">
        <w:rPr>
          <w:rFonts w:cstheme="minorHAnsi"/>
          <w:lang w:val="en-US" w:eastAsia="en-IN"/>
        </w:rPr>
        <w:t xml:space="preserve">some </w:t>
      </w:r>
      <w:r w:rsidRPr="00524A62">
        <w:rPr>
          <w:rFonts w:cstheme="minorHAnsi"/>
          <w:lang w:val="en-US" w:eastAsia="en-IN"/>
        </w:rPr>
        <w:t>wind power projects only receive the FIT rate for up to a certain amount of full-load hours. Grants may also be capped at some percent of total investment</w:t>
      </w:r>
      <w:r w:rsidR="00644E69" w:rsidRPr="00524A62">
        <w:rPr>
          <w:rFonts w:cstheme="minorHAnsi"/>
          <w:lang w:val="en-US" w:eastAsia="en-IN"/>
        </w:rPr>
        <w:t xml:space="preserve"> or currency amount</w:t>
      </w:r>
      <w:r w:rsidRPr="00524A62">
        <w:rPr>
          <w:rFonts w:cstheme="minorHAnsi"/>
          <w:lang w:val="en-US" w:eastAsia="en-IN"/>
        </w:rPr>
        <w:t xml:space="preserve">. In some cases, we were able to find information that a cap exists but not the actual limits, which we therefore record in the column “cap_possible” as “yes”.  </w:t>
      </w:r>
    </w:p>
    <w:p w14:paraId="32A1C874" w14:textId="1C409787" w:rsidR="0049018D" w:rsidRPr="00524A62" w:rsidRDefault="00836661" w:rsidP="0049018D">
      <w:pPr>
        <w:pStyle w:val="Caption"/>
        <w:rPr>
          <w:rFonts w:cstheme="minorHAnsi"/>
          <w:lang w:val="en-US" w:eastAsia="en-IN"/>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14</w:t>
      </w:r>
      <w:r w:rsidRPr="00551268">
        <w:rPr>
          <w:noProof/>
          <w:lang w:val="en-US"/>
        </w:rPr>
        <w:fldChar w:fldCharType="end"/>
      </w:r>
      <w:r w:rsidRPr="00551268">
        <w:rPr>
          <w:lang w:val="en-US"/>
        </w:rPr>
        <w:t xml:space="preserve">: </w:t>
      </w:r>
      <w:r>
        <w:rPr>
          <w:lang w:val="en-US"/>
        </w:rPr>
        <w:t>S</w:t>
      </w:r>
      <w:r w:rsidRPr="00551268">
        <w:rPr>
          <w:lang w:val="en-US"/>
        </w:rPr>
        <w:t>ummary of different data entries for caps</w:t>
      </w:r>
    </w:p>
    <w:tbl>
      <w:tblPr>
        <w:tblStyle w:val="TableGrid"/>
        <w:tblW w:w="5000" w:type="pct"/>
        <w:tblLook w:val="04A0" w:firstRow="1" w:lastRow="0" w:firstColumn="1" w:lastColumn="0" w:noHBand="0" w:noVBand="1"/>
      </w:tblPr>
      <w:tblGrid>
        <w:gridCol w:w="2262"/>
        <w:gridCol w:w="4449"/>
        <w:gridCol w:w="2351"/>
      </w:tblGrid>
      <w:tr w:rsidR="0049018D" w:rsidRPr="00524A62" w14:paraId="3D537A78" w14:textId="77777777" w:rsidTr="00EF0B89">
        <w:trPr>
          <w:trHeight w:val="266"/>
        </w:trPr>
        <w:tc>
          <w:tcPr>
            <w:tcW w:w="1248" w:type="pct"/>
            <w:noWrap/>
            <w:hideMark/>
          </w:tcPr>
          <w:p w14:paraId="0393CD6E" w14:textId="77777777" w:rsidR="0049018D" w:rsidRPr="00524A62" w:rsidRDefault="0049018D" w:rsidP="0005606D">
            <w:pPr>
              <w:rPr>
                <w:rFonts w:cstheme="minorHAnsi"/>
                <w:b/>
                <w:bCs/>
                <w:lang w:val="en-US" w:eastAsia="en-IN"/>
              </w:rPr>
            </w:pPr>
            <w:r w:rsidRPr="00524A62">
              <w:rPr>
                <w:rFonts w:cstheme="minorHAnsi"/>
                <w:b/>
                <w:bCs/>
                <w:lang w:val="en-US" w:eastAsia="en-IN"/>
              </w:rPr>
              <w:t>Variable name</w:t>
            </w:r>
          </w:p>
        </w:tc>
        <w:tc>
          <w:tcPr>
            <w:tcW w:w="2455" w:type="pct"/>
            <w:noWrap/>
          </w:tcPr>
          <w:p w14:paraId="583CACC8" w14:textId="77777777" w:rsidR="0049018D" w:rsidRPr="00524A62" w:rsidRDefault="0049018D" w:rsidP="0005606D">
            <w:pPr>
              <w:rPr>
                <w:rFonts w:cstheme="minorHAnsi"/>
                <w:b/>
                <w:bCs/>
                <w:lang w:val="en-US" w:eastAsia="en-IN"/>
              </w:rPr>
            </w:pPr>
            <w:r w:rsidRPr="00524A62">
              <w:rPr>
                <w:rFonts w:cstheme="minorHAnsi"/>
                <w:b/>
                <w:bCs/>
                <w:lang w:val="en-US" w:eastAsia="en-IN"/>
              </w:rPr>
              <w:t>Description</w:t>
            </w:r>
          </w:p>
        </w:tc>
        <w:tc>
          <w:tcPr>
            <w:tcW w:w="1297" w:type="pct"/>
          </w:tcPr>
          <w:p w14:paraId="2ABD5ADC" w14:textId="77777777" w:rsidR="0049018D" w:rsidRPr="00524A62" w:rsidRDefault="0049018D" w:rsidP="0005606D">
            <w:pPr>
              <w:rPr>
                <w:rFonts w:cstheme="minorHAnsi"/>
                <w:b/>
                <w:bCs/>
                <w:lang w:val="en-US" w:eastAsia="en-IN"/>
              </w:rPr>
            </w:pPr>
            <w:r w:rsidRPr="00524A62">
              <w:rPr>
                <w:rFonts w:cstheme="minorHAnsi"/>
                <w:b/>
                <w:bCs/>
                <w:lang w:val="en-US" w:eastAsia="en-IN"/>
              </w:rPr>
              <w:t>Values</w:t>
            </w:r>
          </w:p>
        </w:tc>
      </w:tr>
      <w:tr w:rsidR="0049018D" w:rsidRPr="00524A62" w14:paraId="377E0424" w14:textId="77777777" w:rsidTr="00EF0B89">
        <w:trPr>
          <w:trHeight w:val="290"/>
        </w:trPr>
        <w:tc>
          <w:tcPr>
            <w:tcW w:w="1248" w:type="pct"/>
            <w:noWrap/>
          </w:tcPr>
          <w:p w14:paraId="468E318C" w14:textId="77777777" w:rsidR="0049018D" w:rsidRPr="00524A62" w:rsidRDefault="0049018D" w:rsidP="0005606D">
            <w:pPr>
              <w:rPr>
                <w:rFonts w:cstheme="minorHAnsi"/>
                <w:lang w:val="en-US"/>
              </w:rPr>
            </w:pPr>
            <w:r w:rsidRPr="00524A62">
              <w:rPr>
                <w:rFonts w:cstheme="minorHAnsi"/>
                <w:lang w:val="en-US"/>
              </w:rPr>
              <w:t>cap_possible</w:t>
            </w:r>
          </w:p>
        </w:tc>
        <w:tc>
          <w:tcPr>
            <w:tcW w:w="2455" w:type="pct"/>
          </w:tcPr>
          <w:p w14:paraId="580FAD89" w14:textId="77777777" w:rsidR="0049018D" w:rsidRPr="00524A62" w:rsidRDefault="0049018D" w:rsidP="0005606D">
            <w:pPr>
              <w:rPr>
                <w:rFonts w:cstheme="minorHAnsi"/>
                <w:b/>
                <w:bCs/>
                <w:lang w:val="en-US"/>
              </w:rPr>
            </w:pPr>
            <w:r w:rsidRPr="00524A62">
              <w:rPr>
                <w:rFonts w:cstheme="minorHAnsi"/>
                <w:lang w:val="en-US" w:eastAsia="en-IN"/>
              </w:rPr>
              <w:t>Indicates whether the policy had a cap beyond which no further support is paid</w:t>
            </w:r>
          </w:p>
        </w:tc>
        <w:tc>
          <w:tcPr>
            <w:tcW w:w="1297" w:type="pct"/>
          </w:tcPr>
          <w:p w14:paraId="6C814D43" w14:textId="77777777" w:rsidR="0049018D" w:rsidRPr="00524A62" w:rsidRDefault="0049018D" w:rsidP="0005606D">
            <w:pPr>
              <w:rPr>
                <w:rFonts w:cstheme="minorHAnsi"/>
                <w:lang w:val="en-US" w:eastAsia="en-IN"/>
              </w:rPr>
            </w:pPr>
            <w:r w:rsidRPr="00524A62">
              <w:rPr>
                <w:rFonts w:cstheme="minorHAnsi"/>
                <w:lang w:val="en-US" w:eastAsia="en-IN"/>
              </w:rPr>
              <w:t>yes, no</w:t>
            </w:r>
          </w:p>
        </w:tc>
      </w:tr>
      <w:tr w:rsidR="0049018D" w:rsidRPr="00524A62" w14:paraId="565EA7F6" w14:textId="77777777" w:rsidTr="00EF0B89">
        <w:trPr>
          <w:trHeight w:val="290"/>
        </w:trPr>
        <w:tc>
          <w:tcPr>
            <w:tcW w:w="1248" w:type="pct"/>
            <w:noWrap/>
          </w:tcPr>
          <w:p w14:paraId="21791318" w14:textId="77777777" w:rsidR="0049018D" w:rsidRPr="00524A62" w:rsidRDefault="0049018D" w:rsidP="0005606D">
            <w:pPr>
              <w:rPr>
                <w:rFonts w:cstheme="minorHAnsi"/>
                <w:lang w:val="en-US"/>
              </w:rPr>
            </w:pPr>
            <w:r w:rsidRPr="00524A62">
              <w:rPr>
                <w:rFonts w:cstheme="minorHAnsi"/>
                <w:lang w:val="en-US"/>
              </w:rPr>
              <w:t>cap</w:t>
            </w:r>
          </w:p>
        </w:tc>
        <w:tc>
          <w:tcPr>
            <w:tcW w:w="2455" w:type="pct"/>
          </w:tcPr>
          <w:p w14:paraId="3CDE355E" w14:textId="77777777" w:rsidR="0049018D" w:rsidRPr="00524A62" w:rsidRDefault="0049018D" w:rsidP="0005606D">
            <w:pPr>
              <w:rPr>
                <w:rFonts w:cstheme="minorHAnsi"/>
                <w:lang w:val="en-US" w:eastAsia="en-IN"/>
              </w:rPr>
            </w:pPr>
            <w:r w:rsidRPr="00524A62">
              <w:rPr>
                <w:rFonts w:cstheme="minorHAnsi"/>
                <w:lang w:val="en-US" w:eastAsia="en-IN"/>
              </w:rPr>
              <w:t>The numeric cap amount</w:t>
            </w:r>
          </w:p>
        </w:tc>
        <w:tc>
          <w:tcPr>
            <w:tcW w:w="1297" w:type="pct"/>
          </w:tcPr>
          <w:p w14:paraId="33B23316" w14:textId="77777777" w:rsidR="0049018D" w:rsidRPr="00524A62" w:rsidRDefault="0049018D" w:rsidP="0005606D">
            <w:pPr>
              <w:rPr>
                <w:rFonts w:cstheme="minorHAnsi"/>
                <w:lang w:val="en-US" w:eastAsia="en-IN"/>
              </w:rPr>
            </w:pPr>
            <w:r w:rsidRPr="00524A62">
              <w:rPr>
                <w:rFonts w:cstheme="minorHAnsi"/>
                <w:lang w:val="en-US" w:eastAsia="en-IN"/>
              </w:rPr>
              <w:t>Numeric</w:t>
            </w:r>
          </w:p>
        </w:tc>
      </w:tr>
      <w:tr w:rsidR="0049018D" w:rsidRPr="008D4356" w14:paraId="09726C9C" w14:textId="77777777" w:rsidTr="00EF0B89">
        <w:trPr>
          <w:trHeight w:val="290"/>
        </w:trPr>
        <w:tc>
          <w:tcPr>
            <w:tcW w:w="1248" w:type="pct"/>
            <w:noWrap/>
          </w:tcPr>
          <w:p w14:paraId="085E6176" w14:textId="4DCD2835" w:rsidR="0049018D" w:rsidRPr="00524A62" w:rsidRDefault="0049018D" w:rsidP="0005606D">
            <w:pPr>
              <w:rPr>
                <w:rFonts w:cstheme="minorHAnsi"/>
                <w:lang w:val="en-US"/>
              </w:rPr>
            </w:pPr>
            <w:r w:rsidRPr="00524A62">
              <w:rPr>
                <w:rFonts w:cstheme="minorHAnsi"/>
                <w:lang w:val="en-US"/>
              </w:rPr>
              <w:t>cap_unit</w:t>
            </w:r>
            <w:r w:rsidR="00E615C6" w:rsidRPr="00524A62">
              <w:rPr>
                <w:rFonts w:cstheme="minorHAnsi"/>
                <w:lang w:val="en-US"/>
              </w:rPr>
              <w:t>s</w:t>
            </w:r>
          </w:p>
        </w:tc>
        <w:tc>
          <w:tcPr>
            <w:tcW w:w="2455" w:type="pct"/>
          </w:tcPr>
          <w:p w14:paraId="27CD9E39" w14:textId="6C96DFFD" w:rsidR="0049018D" w:rsidRPr="00524A62" w:rsidRDefault="0049018D" w:rsidP="0005606D">
            <w:pPr>
              <w:rPr>
                <w:rFonts w:cstheme="minorHAnsi"/>
                <w:lang w:val="en-US" w:eastAsia="en-IN"/>
              </w:rPr>
            </w:pPr>
            <w:r w:rsidRPr="00524A62">
              <w:rPr>
                <w:rFonts w:cstheme="minorHAnsi"/>
                <w:lang w:val="en-US" w:eastAsia="en-IN"/>
              </w:rPr>
              <w:t>The unit of the cap</w:t>
            </w:r>
          </w:p>
        </w:tc>
        <w:tc>
          <w:tcPr>
            <w:tcW w:w="1297" w:type="pct"/>
          </w:tcPr>
          <w:p w14:paraId="163BA695" w14:textId="72FAB4C6" w:rsidR="0049018D" w:rsidRPr="00524A62" w:rsidRDefault="0049018D" w:rsidP="0005606D">
            <w:pPr>
              <w:rPr>
                <w:rFonts w:cstheme="minorHAnsi"/>
                <w:lang w:val="en-US" w:eastAsia="en-IN"/>
              </w:rPr>
            </w:pPr>
            <w:r w:rsidRPr="00524A62">
              <w:rPr>
                <w:rFonts w:cstheme="minorHAnsi"/>
                <w:lang w:val="en-US" w:eastAsia="en-IN"/>
              </w:rPr>
              <w:t>MWh, % of investment, MW per project, full-load hours</w:t>
            </w:r>
            <w:r w:rsidR="007D0C1D" w:rsidRPr="00524A62">
              <w:rPr>
                <w:rFonts w:cstheme="minorHAnsi"/>
                <w:lang w:val="en-US" w:eastAsia="en-IN"/>
              </w:rPr>
              <w:t>, etc.</w:t>
            </w:r>
          </w:p>
        </w:tc>
      </w:tr>
      <w:tr w:rsidR="0049018D" w:rsidRPr="00524A62" w14:paraId="52DFD586" w14:textId="77777777" w:rsidTr="00EF0B89">
        <w:trPr>
          <w:trHeight w:val="290"/>
        </w:trPr>
        <w:tc>
          <w:tcPr>
            <w:tcW w:w="1248" w:type="pct"/>
            <w:noWrap/>
          </w:tcPr>
          <w:p w14:paraId="05BD6548" w14:textId="77777777" w:rsidR="0049018D" w:rsidRPr="00524A62" w:rsidRDefault="0049018D" w:rsidP="0005606D">
            <w:pPr>
              <w:rPr>
                <w:rFonts w:cstheme="minorHAnsi"/>
                <w:lang w:val="en-US" w:eastAsia="en-IN"/>
              </w:rPr>
            </w:pPr>
            <w:r w:rsidRPr="00524A62">
              <w:rPr>
                <w:rFonts w:cstheme="minorHAnsi"/>
                <w:lang w:val="en-US" w:eastAsia="en-IN"/>
              </w:rPr>
              <w:t>cap_unit_currency</w:t>
            </w:r>
          </w:p>
        </w:tc>
        <w:tc>
          <w:tcPr>
            <w:tcW w:w="2455" w:type="pct"/>
          </w:tcPr>
          <w:p w14:paraId="4DE32F02" w14:textId="77777777" w:rsidR="0049018D" w:rsidRPr="00524A62" w:rsidRDefault="0049018D" w:rsidP="0005606D">
            <w:pPr>
              <w:rPr>
                <w:rFonts w:cstheme="minorHAnsi"/>
                <w:lang w:val="en-US" w:eastAsia="en-IN"/>
              </w:rPr>
            </w:pPr>
            <w:r w:rsidRPr="00524A62">
              <w:rPr>
                <w:rFonts w:cstheme="minorHAnsi"/>
                <w:lang w:val="en-US" w:eastAsia="en-IN"/>
              </w:rPr>
              <w:t>The currency of the cap amount, if applicable</w:t>
            </w:r>
          </w:p>
        </w:tc>
        <w:tc>
          <w:tcPr>
            <w:tcW w:w="1297" w:type="pct"/>
          </w:tcPr>
          <w:p w14:paraId="1F8F2DE1" w14:textId="2BEBDAC3" w:rsidR="0049018D" w:rsidRPr="00524A62" w:rsidRDefault="0049018D" w:rsidP="0005606D">
            <w:pPr>
              <w:rPr>
                <w:rFonts w:cstheme="minorHAnsi"/>
                <w:lang w:val="en-US" w:eastAsia="en-IN"/>
              </w:rPr>
            </w:pPr>
            <w:r w:rsidRPr="00524A62">
              <w:rPr>
                <w:rFonts w:cstheme="minorHAnsi"/>
                <w:lang w:val="en-US" w:eastAsia="en-IN"/>
              </w:rPr>
              <w:t>EUR, USD, GBP</w:t>
            </w:r>
            <w:r w:rsidR="007D0C1D" w:rsidRPr="00524A62">
              <w:rPr>
                <w:rFonts w:cstheme="minorHAnsi"/>
                <w:lang w:val="en-US" w:eastAsia="en-IN"/>
              </w:rPr>
              <w:t>, etc.</w:t>
            </w:r>
          </w:p>
        </w:tc>
      </w:tr>
      <w:tr w:rsidR="0049018D" w:rsidRPr="008D4356" w14:paraId="3645EE50" w14:textId="77777777" w:rsidTr="00EF0B89">
        <w:trPr>
          <w:trHeight w:val="290"/>
        </w:trPr>
        <w:tc>
          <w:tcPr>
            <w:tcW w:w="1248" w:type="pct"/>
            <w:noWrap/>
          </w:tcPr>
          <w:p w14:paraId="13455F50" w14:textId="6DD50662" w:rsidR="0049018D" w:rsidRPr="00524A62" w:rsidRDefault="0049018D" w:rsidP="0005606D">
            <w:pPr>
              <w:rPr>
                <w:rFonts w:cstheme="minorHAnsi"/>
                <w:lang w:val="en-US" w:eastAsia="en-IN"/>
              </w:rPr>
            </w:pPr>
            <w:r w:rsidRPr="00524A62">
              <w:rPr>
                <w:rFonts w:cstheme="minorHAnsi"/>
                <w:lang w:val="en-US" w:eastAsia="en-IN"/>
              </w:rPr>
              <w:t>cap_</w:t>
            </w:r>
            <w:r w:rsidR="00A00397" w:rsidRPr="00524A62">
              <w:rPr>
                <w:rFonts w:cstheme="minorHAnsi"/>
                <w:lang w:val="en-US"/>
              </w:rPr>
              <w:t xml:space="preserve"> notes</w:t>
            </w:r>
          </w:p>
        </w:tc>
        <w:tc>
          <w:tcPr>
            <w:tcW w:w="2455" w:type="pct"/>
          </w:tcPr>
          <w:p w14:paraId="6766454B" w14:textId="51FDE579" w:rsidR="0049018D" w:rsidRPr="00524A62" w:rsidRDefault="00B94DF8" w:rsidP="0005606D">
            <w:pPr>
              <w:rPr>
                <w:rFonts w:cstheme="minorHAnsi"/>
                <w:lang w:val="en-US" w:eastAsia="en-IN"/>
              </w:rPr>
            </w:pPr>
            <w:r w:rsidRPr="00524A62">
              <w:rPr>
                <w:rFonts w:cstheme="minorHAnsi"/>
                <w:lang w:val="en-US" w:eastAsia="en-IN"/>
              </w:rPr>
              <w:t>Any further information on the cap</w:t>
            </w:r>
          </w:p>
        </w:tc>
        <w:tc>
          <w:tcPr>
            <w:tcW w:w="1297" w:type="pct"/>
          </w:tcPr>
          <w:p w14:paraId="597D4827" w14:textId="3C465DB6" w:rsidR="0049018D" w:rsidRPr="00524A62" w:rsidRDefault="0049018D" w:rsidP="0005606D">
            <w:pPr>
              <w:rPr>
                <w:rFonts w:cstheme="minorHAnsi"/>
                <w:lang w:val="en-US" w:eastAsia="en-IN"/>
              </w:rPr>
            </w:pPr>
          </w:p>
        </w:tc>
      </w:tr>
    </w:tbl>
    <w:p w14:paraId="33D44D5A" w14:textId="77777777" w:rsidR="0049018D" w:rsidRPr="00524A62" w:rsidRDefault="0049018D" w:rsidP="0049018D">
      <w:pPr>
        <w:rPr>
          <w:rFonts w:cstheme="minorHAnsi"/>
          <w:lang w:val="en-US" w:eastAsia="en-IN"/>
        </w:rPr>
      </w:pPr>
    </w:p>
    <w:p w14:paraId="0B11A30B" w14:textId="0567D5E1" w:rsidR="00A62E5E" w:rsidRDefault="003B5550" w:rsidP="00A62E5E">
      <w:pPr>
        <w:rPr>
          <w:rFonts w:cstheme="minorHAnsi"/>
          <w:lang w:val="en-US"/>
        </w:rPr>
      </w:pPr>
      <w:r w:rsidRPr="00524A62">
        <w:rPr>
          <w:rFonts w:cstheme="minorHAnsi"/>
          <w:lang w:val="en-US" w:eastAsia="en-IN"/>
        </w:rPr>
        <w:t>Sometimes there</w:t>
      </w:r>
      <w:r w:rsidR="00A62E5E" w:rsidRPr="00524A62">
        <w:rPr>
          <w:rFonts w:cstheme="minorHAnsi"/>
          <w:lang w:val="en-US" w:eastAsia="en-IN"/>
        </w:rPr>
        <w:t xml:space="preserve"> are policies that set an overall cap: for example</w:t>
      </w:r>
      <w:r w:rsidR="0017384F" w:rsidRPr="00524A62">
        <w:rPr>
          <w:rFonts w:cstheme="minorHAnsi"/>
          <w:lang w:val="en-US" w:eastAsia="en-IN"/>
        </w:rPr>
        <w:t>,</w:t>
      </w:r>
      <w:r w:rsidR="00A62E5E" w:rsidRPr="00524A62">
        <w:rPr>
          <w:rFonts w:cstheme="minorHAnsi"/>
          <w:lang w:val="en-US" w:eastAsia="en-IN"/>
        </w:rPr>
        <w:t xml:space="preserve"> a policy where </w:t>
      </w:r>
      <w:r w:rsidR="00A62E5E" w:rsidRPr="00524A62">
        <w:rPr>
          <w:rFonts w:cstheme="minorHAnsi"/>
          <w:lang w:val="en-US"/>
        </w:rPr>
        <w:t>PV installations between 0-5kW get a FIT of 0.10EUR, and from 5-15kW get a FIT of 0.05EUR, and there will be up to 33MW supported total in this year. This would be recorded as follows:</w:t>
      </w:r>
    </w:p>
    <w:p w14:paraId="177AF919" w14:textId="71DC3296" w:rsidR="00CB70EA" w:rsidRPr="00524A62" w:rsidRDefault="00CB70EA" w:rsidP="00CB70EA">
      <w:pPr>
        <w:pStyle w:val="Caption"/>
        <w:rPr>
          <w:rFonts w:cstheme="minorHAnsi"/>
          <w:lang w:val="en-US" w:eastAsia="en-IN"/>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15</w:t>
      </w:r>
      <w:r w:rsidRPr="00551268">
        <w:rPr>
          <w:noProof/>
          <w:lang w:val="en-US"/>
        </w:rPr>
        <w:fldChar w:fldCharType="end"/>
      </w:r>
      <w:r w:rsidRPr="00551268">
        <w:rPr>
          <w:lang w:val="en-US"/>
        </w:rPr>
        <w:t xml:space="preserve">: </w:t>
      </w:r>
      <w:r>
        <w:rPr>
          <w:lang w:val="en-US"/>
        </w:rPr>
        <w:t>Recording caps</w:t>
      </w:r>
    </w:p>
    <w:tbl>
      <w:tblPr>
        <w:tblStyle w:val="TableGrid"/>
        <w:tblW w:w="0" w:type="auto"/>
        <w:tblLayout w:type="fixed"/>
        <w:tblLook w:val="04A0" w:firstRow="1" w:lastRow="0" w:firstColumn="1" w:lastColumn="0" w:noHBand="0" w:noVBand="1"/>
      </w:tblPr>
      <w:tblGrid>
        <w:gridCol w:w="1255"/>
        <w:gridCol w:w="1646"/>
        <w:gridCol w:w="1324"/>
        <w:gridCol w:w="1080"/>
        <w:gridCol w:w="810"/>
        <w:gridCol w:w="900"/>
        <w:gridCol w:w="990"/>
        <w:gridCol w:w="1057"/>
      </w:tblGrid>
      <w:tr w:rsidR="00A62E5E" w:rsidRPr="00524A62" w14:paraId="2B6DE5A5" w14:textId="77777777" w:rsidTr="00ED1CBB">
        <w:tc>
          <w:tcPr>
            <w:tcW w:w="1255" w:type="dxa"/>
          </w:tcPr>
          <w:p w14:paraId="3EA8841C" w14:textId="0C29202B" w:rsidR="00A62E5E" w:rsidRPr="00524A62" w:rsidRDefault="00A21A6A" w:rsidP="00ED1CBB">
            <w:pPr>
              <w:rPr>
                <w:rFonts w:cstheme="minorHAnsi"/>
                <w:lang w:val="en-US"/>
              </w:rPr>
            </w:pPr>
            <w:r w:rsidRPr="00524A62">
              <w:rPr>
                <w:rFonts w:cstheme="minorHAnsi"/>
                <w:lang w:val="en-US"/>
              </w:rPr>
              <w:t>technology_</w:t>
            </w:r>
            <w:r w:rsidR="00AC375E" w:rsidRPr="00524A62">
              <w:rPr>
                <w:rFonts w:cstheme="minorHAnsi"/>
                <w:lang w:val="en-US"/>
              </w:rPr>
              <w:t>type</w:t>
            </w:r>
          </w:p>
        </w:tc>
        <w:tc>
          <w:tcPr>
            <w:tcW w:w="1646" w:type="dxa"/>
          </w:tcPr>
          <w:p w14:paraId="61E0F8F7" w14:textId="3C12F589" w:rsidR="00A62E5E" w:rsidRPr="00524A62" w:rsidRDefault="00A21A6A" w:rsidP="00ED1CBB">
            <w:pPr>
              <w:rPr>
                <w:rFonts w:cstheme="minorHAnsi"/>
                <w:lang w:val="en-US"/>
              </w:rPr>
            </w:pPr>
            <w:r w:rsidRPr="00524A62">
              <w:rPr>
                <w:rFonts w:cstheme="minorHAnsi"/>
                <w:lang w:val="en-US"/>
              </w:rPr>
              <w:t>condition_</w:t>
            </w:r>
            <w:r w:rsidR="00A62E5E" w:rsidRPr="00524A62">
              <w:rPr>
                <w:rFonts w:cstheme="minorHAnsi"/>
                <w:lang w:val="en-US"/>
              </w:rPr>
              <w:t>min_1</w:t>
            </w:r>
          </w:p>
        </w:tc>
        <w:tc>
          <w:tcPr>
            <w:tcW w:w="1324" w:type="dxa"/>
          </w:tcPr>
          <w:p w14:paraId="0EBC10EC" w14:textId="5DA7A0C7" w:rsidR="00A62E5E" w:rsidRPr="00524A62" w:rsidRDefault="00A21A6A" w:rsidP="00ED1CBB">
            <w:pPr>
              <w:rPr>
                <w:rFonts w:cstheme="minorHAnsi"/>
                <w:lang w:val="en-US"/>
              </w:rPr>
            </w:pPr>
            <w:r w:rsidRPr="00524A62">
              <w:rPr>
                <w:rFonts w:cstheme="minorHAnsi"/>
                <w:lang w:val="en-US"/>
              </w:rPr>
              <w:t>condition_</w:t>
            </w:r>
            <w:r w:rsidR="00A62E5E" w:rsidRPr="00524A62">
              <w:rPr>
                <w:rFonts w:cstheme="minorHAnsi"/>
                <w:lang w:val="en-US"/>
              </w:rPr>
              <w:t>max_1</w:t>
            </w:r>
          </w:p>
        </w:tc>
        <w:tc>
          <w:tcPr>
            <w:tcW w:w="1080" w:type="dxa"/>
          </w:tcPr>
          <w:p w14:paraId="5FE1E481" w14:textId="77777777" w:rsidR="00A62E5E" w:rsidRPr="00524A62" w:rsidRDefault="00A62E5E" w:rsidP="00ED1CBB">
            <w:pPr>
              <w:rPr>
                <w:rFonts w:cstheme="minorHAnsi"/>
                <w:lang w:val="en-US"/>
              </w:rPr>
            </w:pPr>
            <w:r w:rsidRPr="00524A62">
              <w:rPr>
                <w:rFonts w:cstheme="minorHAnsi"/>
                <w:lang w:val="en-US"/>
              </w:rPr>
              <w:t>level_1</w:t>
            </w:r>
          </w:p>
        </w:tc>
        <w:tc>
          <w:tcPr>
            <w:tcW w:w="810" w:type="dxa"/>
          </w:tcPr>
          <w:p w14:paraId="78082098" w14:textId="77777777" w:rsidR="00A62E5E" w:rsidRPr="00524A62" w:rsidRDefault="00A62E5E" w:rsidP="00ED1CBB">
            <w:pPr>
              <w:rPr>
                <w:rFonts w:cstheme="minorHAnsi"/>
                <w:lang w:val="en-US"/>
              </w:rPr>
            </w:pPr>
            <w:r w:rsidRPr="00524A62">
              <w:rPr>
                <w:rFonts w:cstheme="minorHAnsi"/>
                <w:lang w:val="en-US"/>
              </w:rPr>
              <w:t>Cmin2</w:t>
            </w:r>
          </w:p>
        </w:tc>
        <w:tc>
          <w:tcPr>
            <w:tcW w:w="900" w:type="dxa"/>
          </w:tcPr>
          <w:p w14:paraId="6AD77176" w14:textId="77777777" w:rsidR="00A62E5E" w:rsidRPr="00524A62" w:rsidRDefault="00A62E5E" w:rsidP="00ED1CBB">
            <w:pPr>
              <w:rPr>
                <w:rFonts w:cstheme="minorHAnsi"/>
                <w:lang w:val="en-US"/>
              </w:rPr>
            </w:pPr>
            <w:r w:rsidRPr="00524A62">
              <w:rPr>
                <w:rFonts w:cstheme="minorHAnsi"/>
                <w:lang w:val="en-US"/>
              </w:rPr>
              <w:t>Cmax2</w:t>
            </w:r>
          </w:p>
        </w:tc>
        <w:tc>
          <w:tcPr>
            <w:tcW w:w="990" w:type="dxa"/>
          </w:tcPr>
          <w:p w14:paraId="66289AA6" w14:textId="77777777" w:rsidR="00A62E5E" w:rsidRPr="00524A62" w:rsidRDefault="00A62E5E" w:rsidP="00ED1CBB">
            <w:pPr>
              <w:rPr>
                <w:rFonts w:cstheme="minorHAnsi"/>
                <w:lang w:val="en-US"/>
              </w:rPr>
            </w:pPr>
            <w:r w:rsidRPr="00524A62">
              <w:rPr>
                <w:rFonts w:cstheme="minorHAnsi"/>
                <w:lang w:val="en-US"/>
              </w:rPr>
              <w:t>l2</w:t>
            </w:r>
          </w:p>
        </w:tc>
        <w:tc>
          <w:tcPr>
            <w:tcW w:w="1057" w:type="dxa"/>
          </w:tcPr>
          <w:p w14:paraId="3EC1C9F7" w14:textId="77777777" w:rsidR="00A62E5E" w:rsidRPr="00524A62" w:rsidRDefault="00A62E5E" w:rsidP="00ED1CBB">
            <w:pPr>
              <w:rPr>
                <w:rFonts w:cstheme="minorHAnsi"/>
                <w:lang w:val="en-US"/>
              </w:rPr>
            </w:pPr>
            <w:r w:rsidRPr="00524A62">
              <w:rPr>
                <w:rFonts w:cstheme="minorHAnsi"/>
                <w:lang w:val="en-US"/>
              </w:rPr>
              <w:t>cap</w:t>
            </w:r>
          </w:p>
        </w:tc>
      </w:tr>
      <w:tr w:rsidR="00A62E5E" w:rsidRPr="00524A62" w14:paraId="67D6191B" w14:textId="77777777" w:rsidTr="00ED1CBB">
        <w:tc>
          <w:tcPr>
            <w:tcW w:w="1255" w:type="dxa"/>
          </w:tcPr>
          <w:p w14:paraId="320FA769" w14:textId="77777777" w:rsidR="00A62E5E" w:rsidRPr="00524A62" w:rsidRDefault="00A62E5E" w:rsidP="00ED1CBB">
            <w:pPr>
              <w:rPr>
                <w:rFonts w:cstheme="minorHAnsi"/>
                <w:lang w:val="en-US"/>
              </w:rPr>
            </w:pPr>
            <w:r w:rsidRPr="00524A62">
              <w:rPr>
                <w:rFonts w:cstheme="minorHAnsi"/>
                <w:lang w:val="en-US"/>
              </w:rPr>
              <w:t>PV</w:t>
            </w:r>
          </w:p>
        </w:tc>
        <w:tc>
          <w:tcPr>
            <w:tcW w:w="1646" w:type="dxa"/>
          </w:tcPr>
          <w:p w14:paraId="1D963107" w14:textId="77777777" w:rsidR="00A62E5E" w:rsidRPr="00524A62" w:rsidRDefault="00A62E5E" w:rsidP="00ED1CBB">
            <w:pPr>
              <w:rPr>
                <w:rFonts w:cstheme="minorHAnsi"/>
                <w:lang w:val="en-US"/>
              </w:rPr>
            </w:pPr>
            <w:r w:rsidRPr="00524A62">
              <w:rPr>
                <w:rFonts w:cstheme="minorHAnsi"/>
                <w:lang w:val="en-US"/>
              </w:rPr>
              <w:t>0 kW</w:t>
            </w:r>
          </w:p>
        </w:tc>
        <w:tc>
          <w:tcPr>
            <w:tcW w:w="1324" w:type="dxa"/>
          </w:tcPr>
          <w:p w14:paraId="25E390C4" w14:textId="77777777" w:rsidR="00A62E5E" w:rsidRPr="00524A62" w:rsidRDefault="00A62E5E" w:rsidP="00ED1CBB">
            <w:pPr>
              <w:rPr>
                <w:rFonts w:cstheme="minorHAnsi"/>
                <w:lang w:val="en-US"/>
              </w:rPr>
            </w:pPr>
            <w:r w:rsidRPr="00524A62">
              <w:rPr>
                <w:rFonts w:cstheme="minorHAnsi"/>
                <w:lang w:val="en-US"/>
              </w:rPr>
              <w:t>5 kW</w:t>
            </w:r>
          </w:p>
        </w:tc>
        <w:tc>
          <w:tcPr>
            <w:tcW w:w="1080" w:type="dxa"/>
          </w:tcPr>
          <w:p w14:paraId="26358406" w14:textId="77777777" w:rsidR="00A62E5E" w:rsidRPr="00524A62" w:rsidRDefault="00A62E5E" w:rsidP="00ED1CBB">
            <w:pPr>
              <w:rPr>
                <w:rFonts w:cstheme="minorHAnsi"/>
                <w:lang w:val="en-US"/>
              </w:rPr>
            </w:pPr>
            <w:r w:rsidRPr="00524A62">
              <w:rPr>
                <w:rFonts w:cstheme="minorHAnsi"/>
                <w:lang w:val="en-US"/>
              </w:rPr>
              <w:t>0.10EUR</w:t>
            </w:r>
          </w:p>
        </w:tc>
        <w:tc>
          <w:tcPr>
            <w:tcW w:w="810" w:type="dxa"/>
          </w:tcPr>
          <w:p w14:paraId="6E16A555" w14:textId="77777777" w:rsidR="00A62E5E" w:rsidRPr="00524A62" w:rsidRDefault="00A62E5E" w:rsidP="00ED1CBB">
            <w:pPr>
              <w:rPr>
                <w:rFonts w:cstheme="minorHAnsi"/>
                <w:lang w:val="en-US"/>
              </w:rPr>
            </w:pPr>
            <w:r w:rsidRPr="00524A62">
              <w:rPr>
                <w:rFonts w:cstheme="minorHAnsi"/>
                <w:lang w:val="en-US"/>
              </w:rPr>
              <w:t>5kW</w:t>
            </w:r>
          </w:p>
        </w:tc>
        <w:tc>
          <w:tcPr>
            <w:tcW w:w="900" w:type="dxa"/>
          </w:tcPr>
          <w:p w14:paraId="75D18ED5" w14:textId="77777777" w:rsidR="00A62E5E" w:rsidRPr="00524A62" w:rsidRDefault="00A62E5E" w:rsidP="00ED1CBB">
            <w:pPr>
              <w:rPr>
                <w:rFonts w:cstheme="minorHAnsi"/>
                <w:lang w:val="en-US"/>
              </w:rPr>
            </w:pPr>
            <w:r w:rsidRPr="00524A62">
              <w:rPr>
                <w:rFonts w:cstheme="minorHAnsi"/>
                <w:lang w:val="en-US"/>
              </w:rPr>
              <w:t>15kW</w:t>
            </w:r>
          </w:p>
        </w:tc>
        <w:tc>
          <w:tcPr>
            <w:tcW w:w="990" w:type="dxa"/>
          </w:tcPr>
          <w:p w14:paraId="03618362" w14:textId="77777777" w:rsidR="00A62E5E" w:rsidRPr="00524A62" w:rsidRDefault="00A62E5E" w:rsidP="00ED1CBB">
            <w:pPr>
              <w:rPr>
                <w:rFonts w:cstheme="minorHAnsi"/>
                <w:lang w:val="en-US"/>
              </w:rPr>
            </w:pPr>
            <w:r w:rsidRPr="00524A62">
              <w:rPr>
                <w:rFonts w:cstheme="minorHAnsi"/>
                <w:lang w:val="en-US"/>
              </w:rPr>
              <w:t>0.05EUR</w:t>
            </w:r>
          </w:p>
        </w:tc>
        <w:tc>
          <w:tcPr>
            <w:tcW w:w="1057" w:type="dxa"/>
          </w:tcPr>
          <w:p w14:paraId="4EF9FFC5" w14:textId="77777777" w:rsidR="00A62E5E" w:rsidRPr="00524A62" w:rsidRDefault="00A62E5E" w:rsidP="00ED1CBB">
            <w:pPr>
              <w:rPr>
                <w:rFonts w:cstheme="minorHAnsi"/>
                <w:lang w:val="en-US"/>
              </w:rPr>
            </w:pPr>
            <w:r w:rsidRPr="00524A62">
              <w:rPr>
                <w:rFonts w:cstheme="minorHAnsi"/>
                <w:lang w:val="en-US"/>
              </w:rPr>
              <w:t>33MW</w:t>
            </w:r>
          </w:p>
        </w:tc>
      </w:tr>
    </w:tbl>
    <w:p w14:paraId="1B8E1A45" w14:textId="77777777" w:rsidR="00A62E5E" w:rsidRPr="00524A62" w:rsidRDefault="00A62E5E" w:rsidP="00A62E5E">
      <w:pPr>
        <w:rPr>
          <w:rFonts w:cstheme="minorHAnsi"/>
          <w:b/>
          <w:bCs/>
          <w:lang w:val="en-US"/>
        </w:rPr>
      </w:pPr>
    </w:p>
    <w:p w14:paraId="23FBCCD3" w14:textId="4C8FCAF9" w:rsidR="00A62E5E" w:rsidRPr="00524A62" w:rsidRDefault="00601988" w:rsidP="0049018D">
      <w:pPr>
        <w:rPr>
          <w:rFonts w:cstheme="minorHAnsi"/>
          <w:lang w:val="en-US" w:eastAsia="en-IN"/>
        </w:rPr>
      </w:pPr>
      <w:r w:rsidRPr="00524A62">
        <w:rPr>
          <w:rFonts w:cstheme="minorHAnsi"/>
          <w:lang w:val="en-US" w:eastAsia="en-IN"/>
        </w:rPr>
        <w:t>However, sometimes there are installations that differ. In the example above, if there were a cap of 13 MW total for the smallest solar size and 20 MW total for the biggest solar size, this would be recorded as follows:</w:t>
      </w:r>
    </w:p>
    <w:p w14:paraId="436A86C0" w14:textId="05B8132D" w:rsidR="00601988" w:rsidRPr="00524A62" w:rsidRDefault="00601988" w:rsidP="00601988">
      <w:pPr>
        <w:pStyle w:val="ListParagraph"/>
        <w:numPr>
          <w:ilvl w:val="0"/>
          <w:numId w:val="6"/>
        </w:numPr>
        <w:rPr>
          <w:rFonts w:cstheme="minorHAnsi"/>
          <w:lang w:val="en-US" w:eastAsia="en-IN"/>
        </w:rPr>
      </w:pPr>
      <w:r w:rsidRPr="00524A62">
        <w:rPr>
          <w:rFonts w:cstheme="minorHAnsi"/>
          <w:lang w:val="en-US" w:eastAsia="en-IN"/>
        </w:rPr>
        <w:t>Cap_possible = yes</w:t>
      </w:r>
    </w:p>
    <w:p w14:paraId="01C446FF" w14:textId="746BB984" w:rsidR="00601988" w:rsidRPr="00524A62" w:rsidRDefault="00601988" w:rsidP="00601988">
      <w:pPr>
        <w:pStyle w:val="ListParagraph"/>
        <w:numPr>
          <w:ilvl w:val="0"/>
          <w:numId w:val="6"/>
        </w:numPr>
        <w:rPr>
          <w:rFonts w:cstheme="minorHAnsi"/>
          <w:lang w:val="en-US" w:eastAsia="en-IN"/>
        </w:rPr>
      </w:pPr>
      <w:r w:rsidRPr="00524A62">
        <w:rPr>
          <w:rFonts w:cstheme="minorHAnsi"/>
          <w:lang w:val="en-US" w:eastAsia="en-IN"/>
        </w:rPr>
        <w:t>(no</w:t>
      </w:r>
      <w:r w:rsidR="00722DF6" w:rsidRPr="00524A62">
        <w:rPr>
          <w:rFonts w:cstheme="minorHAnsi"/>
          <w:lang w:val="en-US" w:eastAsia="en-IN"/>
        </w:rPr>
        <w:t xml:space="preserve"> cap level</w:t>
      </w:r>
      <w:r w:rsidRPr="00524A62">
        <w:rPr>
          <w:rFonts w:cstheme="minorHAnsi"/>
          <w:lang w:val="en-US" w:eastAsia="en-IN"/>
        </w:rPr>
        <w:t xml:space="preserve"> recorded)</w:t>
      </w:r>
    </w:p>
    <w:p w14:paraId="0910544D" w14:textId="5B7AEE81" w:rsidR="00601988" w:rsidRPr="00524A62" w:rsidRDefault="00601988" w:rsidP="00601988">
      <w:pPr>
        <w:pStyle w:val="ListParagraph"/>
        <w:numPr>
          <w:ilvl w:val="0"/>
          <w:numId w:val="6"/>
        </w:numPr>
        <w:rPr>
          <w:rFonts w:cstheme="minorHAnsi"/>
          <w:lang w:val="en-US" w:eastAsia="en-IN"/>
        </w:rPr>
      </w:pPr>
      <w:r w:rsidRPr="00524A62">
        <w:rPr>
          <w:rFonts w:cstheme="minorHAnsi"/>
          <w:lang w:val="en-US" w:eastAsia="en-IN"/>
        </w:rPr>
        <w:t xml:space="preserve">In </w:t>
      </w:r>
      <w:r w:rsidR="00A00397" w:rsidRPr="00524A62">
        <w:rPr>
          <w:rFonts w:cstheme="minorHAnsi"/>
          <w:lang w:val="en-US"/>
        </w:rPr>
        <w:t>notes</w:t>
      </w:r>
      <w:r w:rsidRPr="00524A62">
        <w:rPr>
          <w:rFonts w:cstheme="minorHAnsi"/>
          <w:lang w:val="en-US" w:eastAsia="en-IN"/>
        </w:rPr>
        <w:t xml:space="preserve">: cap for </w:t>
      </w:r>
      <w:r w:rsidR="00F16BC1" w:rsidRPr="00524A62">
        <w:rPr>
          <w:rFonts w:cstheme="minorHAnsi"/>
          <w:lang w:val="en-US" w:eastAsia="en-IN"/>
        </w:rPr>
        <w:t xml:space="preserve">0-5kW is 13 MW per year, cap for 5-15kW is 20 MW per year. </w:t>
      </w:r>
    </w:p>
    <w:p w14:paraId="36C496B3" w14:textId="3910CB4C" w:rsidR="0068384E" w:rsidRPr="00524A62" w:rsidRDefault="000378D8" w:rsidP="0068384E">
      <w:pPr>
        <w:rPr>
          <w:rFonts w:cstheme="minorHAnsi"/>
          <w:lang w:val="en-US" w:eastAsia="en-IN"/>
        </w:rPr>
      </w:pPr>
      <w:r w:rsidRPr="00524A62">
        <w:rPr>
          <w:rFonts w:cstheme="minorHAnsi"/>
          <w:b/>
          <w:bCs/>
          <w:lang w:val="en-US" w:eastAsia="en-IN"/>
        </w:rPr>
        <w:t>NOTE</w:t>
      </w:r>
      <w:r w:rsidR="0068384E" w:rsidRPr="00524A62">
        <w:rPr>
          <w:rFonts w:cstheme="minorHAnsi"/>
          <w:b/>
          <w:bCs/>
          <w:lang w:val="en-US" w:eastAsia="en-IN"/>
        </w:rPr>
        <w:t>:</w:t>
      </w:r>
      <w:r w:rsidR="0068384E" w:rsidRPr="00524A62">
        <w:rPr>
          <w:rFonts w:cstheme="minorHAnsi"/>
          <w:lang w:val="en-US" w:eastAsia="en-IN"/>
        </w:rPr>
        <w:t xml:space="preserve"> The cap is NOT the total budget of the program; or the budget that will be spent per year. Budget per year is recorded in the column “government budget”</w:t>
      </w:r>
      <w:r w:rsidR="00191D3D" w:rsidRPr="00524A62">
        <w:rPr>
          <w:rFonts w:cstheme="minorHAnsi"/>
          <w:lang w:val="en-US" w:eastAsia="en-IN"/>
        </w:rPr>
        <w:t xml:space="preserve">, and information on the total budget can be added in the </w:t>
      </w:r>
      <w:r w:rsidR="00A00397" w:rsidRPr="00524A62">
        <w:rPr>
          <w:rFonts w:cstheme="minorHAnsi"/>
          <w:lang w:val="en-US"/>
        </w:rPr>
        <w:t>notes</w:t>
      </w:r>
      <w:r w:rsidR="00A00397" w:rsidRPr="00524A62">
        <w:rPr>
          <w:rFonts w:cstheme="minorHAnsi"/>
          <w:lang w:val="en-US" w:eastAsia="en-IN"/>
        </w:rPr>
        <w:t xml:space="preserve"> </w:t>
      </w:r>
      <w:r w:rsidR="00700C0A" w:rsidRPr="00524A62">
        <w:rPr>
          <w:rFonts w:cstheme="minorHAnsi"/>
          <w:lang w:val="en-US" w:eastAsia="en-IN"/>
        </w:rPr>
        <w:t>section.</w:t>
      </w:r>
    </w:p>
    <w:p w14:paraId="3D4AF497" w14:textId="40500E5B" w:rsidR="0049018D" w:rsidRPr="00524A62" w:rsidRDefault="0049018D" w:rsidP="0049018D">
      <w:pPr>
        <w:rPr>
          <w:rFonts w:cstheme="minorHAnsi"/>
          <w:lang w:val="en-US" w:eastAsia="en-IN"/>
        </w:rPr>
      </w:pPr>
      <w:r w:rsidRPr="00524A62">
        <w:rPr>
          <w:rFonts w:cstheme="minorHAnsi"/>
          <w:lang w:val="en-US" w:eastAsia="en-IN"/>
        </w:rPr>
        <w:t xml:space="preserve">Finally, some policy support is subject to </w:t>
      </w:r>
      <w:r w:rsidRPr="00524A62">
        <w:rPr>
          <w:rFonts w:cstheme="minorHAnsi"/>
          <w:b/>
          <w:bCs/>
          <w:lang w:val="en-US" w:eastAsia="en-IN"/>
        </w:rPr>
        <w:t>degression</w:t>
      </w:r>
      <w:r w:rsidRPr="00524A62">
        <w:rPr>
          <w:rFonts w:cstheme="minorHAnsi"/>
          <w:lang w:val="en-US" w:eastAsia="en-IN"/>
        </w:rPr>
        <w:t>: This means that support levels decrease by a pre-determined rate. For example, a degression of 5% per year for a FIP means that the premium for new installations in year t+1 is 5% lower than for installations entering into operation in year t. If there is information on the degression, we record the unit and currency of this decrease.</w:t>
      </w:r>
    </w:p>
    <w:p w14:paraId="5A438722" w14:textId="6B3DED49" w:rsidR="008F58B0" w:rsidRPr="00524A62" w:rsidRDefault="000378D8" w:rsidP="0049018D">
      <w:pPr>
        <w:rPr>
          <w:lang w:val="en-US"/>
        </w:rPr>
      </w:pPr>
      <w:r w:rsidRPr="00524A62">
        <w:rPr>
          <w:b/>
          <w:bCs/>
          <w:lang w:val="en-US"/>
        </w:rPr>
        <w:lastRenderedPageBreak/>
        <w:t>NOTE</w:t>
      </w:r>
      <w:r w:rsidR="008F58B0" w:rsidRPr="00524A62">
        <w:rPr>
          <w:b/>
          <w:bCs/>
          <w:lang w:val="en-US"/>
        </w:rPr>
        <w:t xml:space="preserve">: </w:t>
      </w:r>
      <w:r w:rsidR="008F58B0" w:rsidRPr="00524A62">
        <w:rPr>
          <w:lang w:val="en-US"/>
        </w:rPr>
        <w:t xml:space="preserve">This policy is usually employed when a government sets a rate of support </w:t>
      </w:r>
      <w:r w:rsidR="00A8062C" w:rsidRPr="00524A62">
        <w:rPr>
          <w:lang w:val="en-US"/>
        </w:rPr>
        <w:t>in one year and states that it should decrease by the degression rate in the following years.</w:t>
      </w:r>
      <w:r w:rsidR="00E165EB" w:rsidRPr="00524A62">
        <w:rPr>
          <w:lang w:val="en-US"/>
        </w:rPr>
        <w:t xml:space="preserve"> This means that the level we record already includes the degression rate</w:t>
      </w:r>
      <w:r w:rsidR="005D3757" w:rsidRPr="00524A62">
        <w:rPr>
          <w:lang w:val="en-US"/>
        </w:rPr>
        <w:t>. For example, in Germany a degression rate of 1.5% for wind energy was applied from 2002 onward. Because the FIT support levels remained identical to those of preceding years, the 2002 support level is recorded as the 2001 value multiplied by 0.985.</w:t>
      </w:r>
    </w:p>
    <w:p w14:paraId="7F961566" w14:textId="3648B268" w:rsidR="0049018D" w:rsidRPr="00524A62" w:rsidRDefault="007B4E2E" w:rsidP="0049018D">
      <w:pPr>
        <w:pStyle w:val="Caption"/>
        <w:rPr>
          <w:rFonts w:cstheme="minorHAnsi"/>
          <w:lang w:val="en-US" w:eastAsia="en-IN"/>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16</w:t>
      </w:r>
      <w:r w:rsidRPr="00551268">
        <w:rPr>
          <w:noProof/>
          <w:lang w:val="en-US"/>
        </w:rPr>
        <w:fldChar w:fldCharType="end"/>
      </w:r>
      <w:r w:rsidRPr="00551268">
        <w:rPr>
          <w:lang w:val="en-US"/>
        </w:rPr>
        <w:t xml:space="preserve">: </w:t>
      </w:r>
      <w:r w:rsidR="0049018D" w:rsidRPr="00524A62">
        <w:rPr>
          <w:lang w:val="en-US"/>
        </w:rPr>
        <w:t>Summary of different data entries for degression of support</w:t>
      </w:r>
    </w:p>
    <w:tbl>
      <w:tblPr>
        <w:tblStyle w:val="TableGrid"/>
        <w:tblW w:w="9731" w:type="dxa"/>
        <w:tblLook w:val="04A0" w:firstRow="1" w:lastRow="0" w:firstColumn="1" w:lastColumn="0" w:noHBand="0" w:noVBand="1"/>
      </w:tblPr>
      <w:tblGrid>
        <w:gridCol w:w="2604"/>
        <w:gridCol w:w="4230"/>
        <w:gridCol w:w="2897"/>
      </w:tblGrid>
      <w:tr w:rsidR="0049018D" w:rsidRPr="00524A62" w14:paraId="36217E0B" w14:textId="77777777" w:rsidTr="0005606D">
        <w:trPr>
          <w:trHeight w:val="174"/>
        </w:trPr>
        <w:tc>
          <w:tcPr>
            <w:tcW w:w="2604" w:type="dxa"/>
            <w:noWrap/>
            <w:hideMark/>
          </w:tcPr>
          <w:p w14:paraId="3BBFF45F" w14:textId="77777777" w:rsidR="0049018D" w:rsidRPr="00524A62" w:rsidRDefault="0049018D" w:rsidP="0005606D">
            <w:pPr>
              <w:rPr>
                <w:rFonts w:cstheme="minorHAnsi"/>
                <w:b/>
                <w:bCs/>
                <w:lang w:val="en-US" w:eastAsia="en-IN"/>
              </w:rPr>
            </w:pPr>
            <w:r w:rsidRPr="00524A62">
              <w:rPr>
                <w:rFonts w:cstheme="minorHAnsi"/>
                <w:b/>
                <w:bCs/>
                <w:lang w:val="en-US" w:eastAsia="en-IN"/>
              </w:rPr>
              <w:t>Variable name</w:t>
            </w:r>
          </w:p>
        </w:tc>
        <w:tc>
          <w:tcPr>
            <w:tcW w:w="4230" w:type="dxa"/>
            <w:noWrap/>
          </w:tcPr>
          <w:p w14:paraId="4E0EC657" w14:textId="79768201" w:rsidR="0049018D" w:rsidRPr="00524A62" w:rsidRDefault="00AD0729" w:rsidP="0005606D">
            <w:pPr>
              <w:rPr>
                <w:rFonts w:cstheme="minorHAnsi"/>
                <w:b/>
                <w:bCs/>
                <w:lang w:val="en-US" w:eastAsia="en-IN"/>
              </w:rPr>
            </w:pPr>
            <w:r w:rsidRPr="00524A62">
              <w:rPr>
                <w:rFonts w:cstheme="minorHAnsi"/>
                <w:b/>
                <w:bCs/>
                <w:lang w:val="en-US" w:eastAsia="en-IN"/>
              </w:rPr>
              <w:t>D</w:t>
            </w:r>
            <w:r w:rsidR="0049018D" w:rsidRPr="00524A62">
              <w:rPr>
                <w:rFonts w:cstheme="minorHAnsi"/>
                <w:b/>
                <w:bCs/>
                <w:lang w:val="en-US" w:eastAsia="en-IN"/>
              </w:rPr>
              <w:t>escription</w:t>
            </w:r>
          </w:p>
        </w:tc>
        <w:tc>
          <w:tcPr>
            <w:tcW w:w="2897" w:type="dxa"/>
          </w:tcPr>
          <w:p w14:paraId="27DBCBAD" w14:textId="77777777" w:rsidR="0049018D" w:rsidRPr="00524A62" w:rsidRDefault="0049018D" w:rsidP="0005606D">
            <w:pPr>
              <w:rPr>
                <w:rFonts w:cstheme="minorHAnsi"/>
                <w:b/>
                <w:bCs/>
                <w:lang w:val="en-US" w:eastAsia="en-IN"/>
              </w:rPr>
            </w:pPr>
            <w:r w:rsidRPr="00524A62">
              <w:rPr>
                <w:rFonts w:cstheme="minorHAnsi"/>
                <w:b/>
                <w:bCs/>
                <w:lang w:val="en-US" w:eastAsia="en-IN"/>
              </w:rPr>
              <w:t>Values</w:t>
            </w:r>
          </w:p>
        </w:tc>
      </w:tr>
      <w:tr w:rsidR="0049018D" w:rsidRPr="00524A62" w14:paraId="386673C0" w14:textId="77777777" w:rsidTr="0005606D">
        <w:trPr>
          <w:trHeight w:val="174"/>
        </w:trPr>
        <w:tc>
          <w:tcPr>
            <w:tcW w:w="2604" w:type="dxa"/>
            <w:noWrap/>
          </w:tcPr>
          <w:p w14:paraId="3DED4FCD" w14:textId="77777777" w:rsidR="0049018D" w:rsidRPr="00524A62" w:rsidRDefault="0049018D" w:rsidP="0005606D">
            <w:pPr>
              <w:rPr>
                <w:rFonts w:cstheme="minorHAnsi"/>
                <w:lang w:val="en-US" w:eastAsia="en-IN"/>
              </w:rPr>
            </w:pPr>
            <w:r w:rsidRPr="00524A62">
              <w:rPr>
                <w:rFonts w:cstheme="minorHAnsi"/>
                <w:lang w:val="en-US"/>
              </w:rPr>
              <w:t>degression_possible</w:t>
            </w:r>
          </w:p>
        </w:tc>
        <w:tc>
          <w:tcPr>
            <w:tcW w:w="4230" w:type="dxa"/>
            <w:noWrap/>
          </w:tcPr>
          <w:p w14:paraId="541B4336" w14:textId="77777777" w:rsidR="0049018D" w:rsidRPr="00524A62" w:rsidRDefault="0049018D" w:rsidP="0005606D">
            <w:pPr>
              <w:rPr>
                <w:rFonts w:cstheme="minorHAnsi"/>
                <w:lang w:val="en-US" w:eastAsia="en-IN"/>
              </w:rPr>
            </w:pPr>
            <w:r w:rsidRPr="00524A62">
              <w:rPr>
                <w:rFonts w:cstheme="minorHAnsi"/>
                <w:lang w:val="en-US" w:eastAsia="en-IN"/>
              </w:rPr>
              <w:t>Whether a degression is present. Some values are coded with “yes” because there was a degression, but insufficient information on the actual level</w:t>
            </w:r>
          </w:p>
        </w:tc>
        <w:tc>
          <w:tcPr>
            <w:tcW w:w="2897" w:type="dxa"/>
          </w:tcPr>
          <w:p w14:paraId="34EE635B" w14:textId="77777777" w:rsidR="0049018D" w:rsidRPr="00524A62" w:rsidRDefault="0049018D" w:rsidP="0005606D">
            <w:pPr>
              <w:rPr>
                <w:rFonts w:cstheme="minorHAnsi"/>
                <w:lang w:val="en-US"/>
              </w:rPr>
            </w:pPr>
            <w:r w:rsidRPr="00524A62">
              <w:rPr>
                <w:rFonts w:cstheme="minorHAnsi"/>
                <w:lang w:val="en-US"/>
              </w:rPr>
              <w:t>yes, no</w:t>
            </w:r>
          </w:p>
        </w:tc>
      </w:tr>
      <w:tr w:rsidR="0049018D" w:rsidRPr="00524A62" w14:paraId="5718C8BB" w14:textId="77777777" w:rsidTr="0005606D">
        <w:trPr>
          <w:trHeight w:val="174"/>
        </w:trPr>
        <w:tc>
          <w:tcPr>
            <w:tcW w:w="2604" w:type="dxa"/>
            <w:noWrap/>
          </w:tcPr>
          <w:p w14:paraId="4D73507C" w14:textId="77777777" w:rsidR="0049018D" w:rsidRPr="00524A62" w:rsidRDefault="0049018D" w:rsidP="0005606D">
            <w:pPr>
              <w:rPr>
                <w:rFonts w:cstheme="minorHAnsi"/>
                <w:lang w:val="en-US" w:eastAsia="en-IN"/>
              </w:rPr>
            </w:pPr>
            <w:r w:rsidRPr="00524A62">
              <w:rPr>
                <w:rFonts w:cstheme="minorHAnsi"/>
                <w:lang w:val="en-US"/>
              </w:rPr>
              <w:t>degression</w:t>
            </w:r>
          </w:p>
        </w:tc>
        <w:tc>
          <w:tcPr>
            <w:tcW w:w="4230" w:type="dxa"/>
            <w:noWrap/>
          </w:tcPr>
          <w:p w14:paraId="5BE386AD" w14:textId="77777777" w:rsidR="0049018D" w:rsidRPr="00524A62" w:rsidRDefault="0049018D" w:rsidP="0005606D">
            <w:pPr>
              <w:rPr>
                <w:rFonts w:cstheme="minorHAnsi"/>
                <w:lang w:val="en-US" w:eastAsia="en-IN"/>
              </w:rPr>
            </w:pPr>
            <w:r w:rsidRPr="00524A62">
              <w:rPr>
                <w:rFonts w:cstheme="minorHAnsi"/>
                <w:lang w:val="en-US" w:eastAsia="en-IN"/>
              </w:rPr>
              <w:t>The amount by which the support level decreases at the pace of degression_unit</w:t>
            </w:r>
          </w:p>
        </w:tc>
        <w:tc>
          <w:tcPr>
            <w:tcW w:w="2897" w:type="dxa"/>
          </w:tcPr>
          <w:p w14:paraId="42B28EB0" w14:textId="77777777" w:rsidR="0049018D" w:rsidRPr="00524A62" w:rsidRDefault="0049018D" w:rsidP="0005606D">
            <w:pPr>
              <w:rPr>
                <w:rFonts w:cstheme="minorHAnsi"/>
                <w:lang w:val="en-US" w:eastAsia="en-IN"/>
              </w:rPr>
            </w:pPr>
            <w:r w:rsidRPr="00524A62">
              <w:rPr>
                <w:rFonts w:cstheme="minorHAnsi"/>
                <w:lang w:val="en-US" w:eastAsia="en-IN"/>
              </w:rPr>
              <w:t>Numeric</w:t>
            </w:r>
          </w:p>
        </w:tc>
      </w:tr>
      <w:tr w:rsidR="0049018D" w:rsidRPr="008D4356" w14:paraId="4C82CC6C" w14:textId="77777777" w:rsidTr="0005606D">
        <w:trPr>
          <w:trHeight w:val="174"/>
        </w:trPr>
        <w:tc>
          <w:tcPr>
            <w:tcW w:w="2604" w:type="dxa"/>
            <w:noWrap/>
          </w:tcPr>
          <w:p w14:paraId="6CD9A31E" w14:textId="77777777" w:rsidR="0049018D" w:rsidRPr="00524A62" w:rsidRDefault="0049018D" w:rsidP="0005606D">
            <w:pPr>
              <w:rPr>
                <w:rFonts w:cstheme="minorHAnsi"/>
                <w:lang w:val="en-US"/>
              </w:rPr>
            </w:pPr>
            <w:r w:rsidRPr="00524A62">
              <w:rPr>
                <w:rFonts w:cstheme="minorHAnsi"/>
                <w:lang w:val="en-US"/>
              </w:rPr>
              <w:t>degression_unit</w:t>
            </w:r>
          </w:p>
        </w:tc>
        <w:tc>
          <w:tcPr>
            <w:tcW w:w="4230" w:type="dxa"/>
            <w:noWrap/>
          </w:tcPr>
          <w:p w14:paraId="7453B965" w14:textId="77777777" w:rsidR="0049018D" w:rsidRPr="00524A62" w:rsidRDefault="0049018D" w:rsidP="0005606D">
            <w:pPr>
              <w:rPr>
                <w:rFonts w:cstheme="minorHAnsi"/>
                <w:lang w:val="en-US"/>
              </w:rPr>
            </w:pPr>
            <w:r w:rsidRPr="00524A62">
              <w:rPr>
                <w:rFonts w:cstheme="minorHAnsi"/>
                <w:lang w:val="en-US"/>
              </w:rPr>
              <w:t>Unit of decrease</w:t>
            </w:r>
          </w:p>
        </w:tc>
        <w:tc>
          <w:tcPr>
            <w:tcW w:w="2897" w:type="dxa"/>
          </w:tcPr>
          <w:p w14:paraId="4AFC4F80" w14:textId="2D6DFA49" w:rsidR="0049018D" w:rsidRPr="00524A62" w:rsidRDefault="0049018D" w:rsidP="0005606D">
            <w:pPr>
              <w:rPr>
                <w:rFonts w:cstheme="minorHAnsi"/>
                <w:lang w:val="en-US"/>
              </w:rPr>
            </w:pPr>
            <w:r w:rsidRPr="00524A62">
              <w:rPr>
                <w:rFonts w:cstheme="minorHAnsi"/>
                <w:lang w:val="en-US"/>
              </w:rPr>
              <w:t>% per year, % per mont</w:t>
            </w:r>
            <w:r w:rsidR="007D0C1D" w:rsidRPr="00524A62">
              <w:rPr>
                <w:rFonts w:cstheme="minorHAnsi"/>
                <w:lang w:val="en-US"/>
              </w:rPr>
              <w:t>h, etc.</w:t>
            </w:r>
          </w:p>
        </w:tc>
      </w:tr>
    </w:tbl>
    <w:p w14:paraId="4837AFCF" w14:textId="0D995CD9" w:rsidR="0084070E" w:rsidRPr="00524A62" w:rsidRDefault="0084070E" w:rsidP="0084070E">
      <w:pPr>
        <w:rPr>
          <w:lang w:val="en-US"/>
        </w:rPr>
      </w:pPr>
      <w:bookmarkStart w:id="27" w:name="_Hlk189054754"/>
    </w:p>
    <w:p w14:paraId="50E92CCA" w14:textId="5E644854" w:rsidR="0049018D" w:rsidRPr="00524A62" w:rsidRDefault="0049018D" w:rsidP="006B6956">
      <w:pPr>
        <w:pStyle w:val="Heading1"/>
        <w:rPr>
          <w:lang w:val="en-US"/>
        </w:rPr>
      </w:pPr>
      <w:bookmarkStart w:id="28" w:name="_Toc219972876"/>
      <w:r w:rsidRPr="00524A62">
        <w:rPr>
          <w:lang w:val="en-US"/>
        </w:rPr>
        <w:t>Details on renewable energy policy support instruments</w:t>
      </w:r>
      <w:bookmarkEnd w:id="27"/>
      <w:bookmarkEnd w:id="28"/>
    </w:p>
    <w:p w14:paraId="237C26F6" w14:textId="5B3FB9C4" w:rsidR="0049018D" w:rsidRPr="00524A62" w:rsidRDefault="00695887" w:rsidP="0049018D">
      <w:pPr>
        <w:rPr>
          <w:rFonts w:cstheme="minorHAnsi"/>
          <w:lang w:val="en-US"/>
        </w:rPr>
      </w:pPr>
      <w:r w:rsidRPr="00524A62">
        <w:rPr>
          <w:rFonts w:cstheme="minorHAnsi"/>
          <w:lang w:val="en-US"/>
        </w:rPr>
        <w:t xml:space="preserve">Updates were done </w:t>
      </w:r>
      <w:r w:rsidR="0049018D" w:rsidRPr="00524A62">
        <w:rPr>
          <w:rFonts w:cstheme="minorHAnsi"/>
          <w:lang w:val="en-US"/>
        </w:rPr>
        <w:t>with the following process:</w:t>
      </w:r>
    </w:p>
    <w:p w14:paraId="2861E446" w14:textId="77777777" w:rsidR="00694BA4" w:rsidRPr="00524A62" w:rsidRDefault="00695887" w:rsidP="0049018D">
      <w:pPr>
        <w:pStyle w:val="ListParagraph"/>
        <w:numPr>
          <w:ilvl w:val="0"/>
          <w:numId w:val="8"/>
        </w:numPr>
        <w:rPr>
          <w:rFonts w:cstheme="minorHAnsi"/>
          <w:lang w:val="en-US"/>
        </w:rPr>
      </w:pPr>
      <w:r w:rsidRPr="00524A62">
        <w:rPr>
          <w:rFonts w:cstheme="minorHAnsi"/>
          <w:lang w:val="en-US"/>
        </w:rPr>
        <w:t>E</w:t>
      </w:r>
      <w:r w:rsidR="0049018D" w:rsidRPr="00524A62">
        <w:rPr>
          <w:rFonts w:cstheme="minorHAnsi"/>
          <w:lang w:val="en-US"/>
        </w:rPr>
        <w:t>stablishing an overview of which policies are likely to be in force in each country in the IEA</w:t>
      </w:r>
      <w:r w:rsidR="00144A48" w:rsidRPr="00524A62">
        <w:rPr>
          <w:rFonts w:cstheme="minorHAnsi"/>
          <w:lang w:val="en-US"/>
        </w:rPr>
        <w:t>, Climate Policy Rad</w:t>
      </w:r>
      <w:r w:rsidR="00886D67" w:rsidRPr="00524A62">
        <w:rPr>
          <w:rFonts w:cstheme="minorHAnsi"/>
          <w:lang w:val="en-US"/>
        </w:rPr>
        <w:t>ar</w:t>
      </w:r>
      <w:r w:rsidR="0049018D" w:rsidRPr="00524A62">
        <w:rPr>
          <w:rFonts w:cstheme="minorHAnsi"/>
          <w:lang w:val="en-US"/>
        </w:rPr>
        <w:t xml:space="preserve"> and Climate Policy Database</w:t>
      </w:r>
      <w:r w:rsidR="00362F8C" w:rsidRPr="00524A62">
        <w:rPr>
          <w:rFonts w:cstheme="minorHAnsi"/>
          <w:lang w:val="en-US"/>
        </w:rPr>
        <w:t xml:space="preserve"> (as well as EU subsidies data</w:t>
      </w:r>
      <w:r w:rsidR="00251BC1" w:rsidRPr="00524A62">
        <w:rPr>
          <w:rFonts w:cstheme="minorHAnsi"/>
          <w:lang w:val="en-US"/>
        </w:rPr>
        <w:t xml:space="preserve"> requested from the European Commission</w:t>
      </w:r>
      <w:r w:rsidR="00362F8C" w:rsidRPr="00524A62">
        <w:rPr>
          <w:rFonts w:cstheme="minorHAnsi"/>
          <w:lang w:val="en-US"/>
        </w:rPr>
        <w:t>)</w:t>
      </w:r>
      <w:r w:rsidR="0049018D" w:rsidRPr="00524A62">
        <w:rPr>
          <w:rFonts w:cstheme="minorHAnsi"/>
          <w:lang w:val="en-US"/>
        </w:rPr>
        <w:t>. This allowed us to look closely at new laws and regulations passed by the government that could have influenced the existence of policy instruments and their level of support.</w:t>
      </w:r>
      <w:r w:rsidR="00F56D38" w:rsidRPr="00524A62">
        <w:rPr>
          <w:rFonts w:cstheme="minorHAnsi"/>
          <w:lang w:val="en-US"/>
        </w:rPr>
        <w:t xml:space="preserve"> </w:t>
      </w:r>
    </w:p>
    <w:p w14:paraId="374FA80C" w14:textId="0F3886CA" w:rsidR="0049018D" w:rsidRPr="00524A62" w:rsidRDefault="00F56D38" w:rsidP="00462E10">
      <w:pPr>
        <w:pStyle w:val="ListParagraph"/>
        <w:numPr>
          <w:ilvl w:val="0"/>
          <w:numId w:val="8"/>
        </w:numPr>
        <w:rPr>
          <w:rFonts w:cstheme="minorHAnsi"/>
          <w:lang w:val="en-US"/>
        </w:rPr>
      </w:pPr>
      <w:r w:rsidRPr="00524A62">
        <w:rPr>
          <w:rFonts w:cstheme="minorHAnsi"/>
          <w:lang w:val="en-US"/>
        </w:rPr>
        <w:t xml:space="preserve">When </w:t>
      </w:r>
      <w:r w:rsidR="005A02AB" w:rsidRPr="00524A62">
        <w:rPr>
          <w:rFonts w:cstheme="minorHAnsi"/>
          <w:lang w:val="en-US"/>
        </w:rPr>
        <w:t>possible,</w:t>
      </w:r>
      <w:r w:rsidRPr="00524A62">
        <w:rPr>
          <w:rFonts w:cstheme="minorHAnsi"/>
          <w:lang w:val="en-US"/>
        </w:rPr>
        <w:t xml:space="preserve"> we use the official government link</w:t>
      </w:r>
      <w:r w:rsidR="00694BA4" w:rsidRPr="00524A62">
        <w:rPr>
          <w:rFonts w:cstheme="minorHAnsi"/>
          <w:lang w:val="en-US"/>
        </w:rPr>
        <w:t>, but there are some policies where we need more details (for example, the law does not set the FIT level, but the electricity operator does, and this is on their website). These are collected by searching the websites of relevant national institutions for further details on specific policy instruments (</w:t>
      </w:r>
      <w:r w:rsidR="005A02AB" w:rsidRPr="00524A62">
        <w:rPr>
          <w:rFonts w:cstheme="minorHAnsi"/>
          <w:lang w:val="en-US"/>
        </w:rPr>
        <w:t>i.e.,</w:t>
      </w:r>
      <w:r w:rsidR="00694BA4" w:rsidRPr="00524A62">
        <w:rPr>
          <w:rFonts w:cstheme="minorHAnsi"/>
          <w:lang w:val="en-US"/>
        </w:rPr>
        <w:t xml:space="preserve"> in the case of loans in Germany, the website of the KfW; or the national Irish budget which is published on the government website yearly).</w:t>
      </w:r>
      <w:r w:rsidR="00462E10" w:rsidRPr="00524A62">
        <w:rPr>
          <w:rFonts w:cstheme="minorHAnsi"/>
          <w:lang w:val="en-US"/>
        </w:rPr>
        <w:t xml:space="preserve"> In some cases where information was difficult to find, we also looked at the websites and reports of industry associations, such as the French solar association: </w:t>
      </w:r>
      <w:hyperlink r:id="rId14" w:history="1">
        <w:r w:rsidR="00462E10" w:rsidRPr="00524A62">
          <w:rPr>
            <w:rStyle w:val="Hyperlink"/>
            <w:rFonts w:cstheme="minorHAnsi"/>
            <w:lang w:val="en-US"/>
          </w:rPr>
          <w:t>https://franceterritoiresolaire.fr/</w:t>
        </w:r>
      </w:hyperlink>
      <w:r w:rsidR="00462E10" w:rsidRPr="00524A62">
        <w:rPr>
          <w:rFonts w:cstheme="minorHAnsi"/>
          <w:lang w:val="en-US"/>
        </w:rPr>
        <w:t>, as well as news sites, think tanks and other online sources.</w:t>
      </w:r>
    </w:p>
    <w:p w14:paraId="69934E62" w14:textId="294A43B6" w:rsidR="00E16EEE" w:rsidRPr="00524A62" w:rsidRDefault="00462E10" w:rsidP="009A72BF">
      <w:pPr>
        <w:pStyle w:val="ListParagraph"/>
        <w:numPr>
          <w:ilvl w:val="0"/>
          <w:numId w:val="8"/>
        </w:numPr>
        <w:rPr>
          <w:rFonts w:cstheme="minorHAnsi"/>
          <w:lang w:val="en-US"/>
        </w:rPr>
      </w:pPr>
      <w:r w:rsidRPr="00524A62">
        <w:rPr>
          <w:rFonts w:cstheme="minorHAnsi"/>
          <w:lang w:val="en-US"/>
        </w:rPr>
        <w:t xml:space="preserve">For </w:t>
      </w:r>
      <w:r w:rsidR="00F56D38" w:rsidRPr="00524A62">
        <w:rPr>
          <w:rFonts w:cstheme="minorHAnsi"/>
          <w:lang w:val="en-US"/>
        </w:rPr>
        <w:t xml:space="preserve">previous observations, we check the </w:t>
      </w:r>
      <w:r w:rsidR="00E16EEE" w:rsidRPr="00524A62">
        <w:rPr>
          <w:rFonts w:cstheme="minorHAnsi"/>
          <w:lang w:val="en-US"/>
        </w:rPr>
        <w:t>source from Hafner and Lilliestam, and continuing using this source if it is valid</w:t>
      </w:r>
      <w:r w:rsidR="0045733D" w:rsidRPr="00524A62">
        <w:rPr>
          <w:rFonts w:cstheme="minorHAnsi"/>
          <w:lang w:val="en-US"/>
        </w:rPr>
        <w:t>.</w:t>
      </w:r>
      <w:r w:rsidR="00E47E51" w:rsidRPr="00524A62">
        <w:rPr>
          <w:rFonts w:cstheme="minorHAnsi"/>
          <w:lang w:val="en-US"/>
        </w:rPr>
        <w:t xml:space="preserve"> If we come across a better source for the policy (</w:t>
      </w:r>
      <w:r w:rsidR="005A02AB" w:rsidRPr="00524A62">
        <w:rPr>
          <w:rFonts w:cstheme="minorHAnsi"/>
          <w:lang w:val="en-US"/>
        </w:rPr>
        <w:t>i.e.,</w:t>
      </w:r>
      <w:r w:rsidR="00E47E51" w:rsidRPr="00524A62">
        <w:rPr>
          <w:rFonts w:cstheme="minorHAnsi"/>
          <w:lang w:val="en-US"/>
        </w:rPr>
        <w:t xml:space="preserve"> the official government link</w:t>
      </w:r>
      <w:r w:rsidR="005A108D" w:rsidRPr="00524A62">
        <w:rPr>
          <w:rFonts w:cstheme="minorHAnsi"/>
          <w:lang w:val="en-US"/>
        </w:rPr>
        <w:t xml:space="preserve"> instead of RESLegal</w:t>
      </w:r>
      <w:r w:rsidR="00E47E51" w:rsidRPr="00524A62">
        <w:rPr>
          <w:rFonts w:cstheme="minorHAnsi"/>
          <w:lang w:val="en-US"/>
        </w:rPr>
        <w:t>) we use this instead.</w:t>
      </w:r>
    </w:p>
    <w:p w14:paraId="26ABC228" w14:textId="77777777" w:rsidR="0049018D" w:rsidRPr="00524A62" w:rsidRDefault="0049018D" w:rsidP="009A3B86">
      <w:pPr>
        <w:pStyle w:val="Heading2"/>
        <w:rPr>
          <w:lang w:val="en-US"/>
        </w:rPr>
      </w:pPr>
      <w:bookmarkStart w:id="29" w:name="_Toc219972877"/>
      <w:r w:rsidRPr="00524A62">
        <w:rPr>
          <w:lang w:val="en-US"/>
        </w:rPr>
        <w:t>Policy instruments for renewable energy support</w:t>
      </w:r>
      <w:bookmarkEnd w:id="29"/>
    </w:p>
    <w:p w14:paraId="26442FFB" w14:textId="5EE79C8D" w:rsidR="0049018D" w:rsidRPr="00524A62" w:rsidRDefault="0049018D" w:rsidP="0049018D">
      <w:pPr>
        <w:rPr>
          <w:lang w:val="en-US"/>
        </w:rPr>
      </w:pPr>
      <w:r w:rsidRPr="00524A62">
        <w:rPr>
          <w:lang w:val="en-US"/>
        </w:rPr>
        <w:t xml:space="preserve">This section explains in further detail the policy instruments for renewable energy support and </w:t>
      </w:r>
      <w:r w:rsidR="00A00397" w:rsidRPr="00524A62">
        <w:rPr>
          <w:rFonts w:cstheme="minorHAnsi"/>
          <w:lang w:val="en-US"/>
        </w:rPr>
        <w:t>notes</w:t>
      </w:r>
      <w:r w:rsidR="00A00397" w:rsidRPr="00524A62">
        <w:rPr>
          <w:lang w:val="en-US"/>
        </w:rPr>
        <w:t xml:space="preserve"> </w:t>
      </w:r>
      <w:r w:rsidRPr="00524A62">
        <w:rPr>
          <w:lang w:val="en-US"/>
        </w:rPr>
        <w:t xml:space="preserve">on how data were gathered and processed. </w:t>
      </w:r>
    </w:p>
    <w:p w14:paraId="5E6AA2C8" w14:textId="50A2E505" w:rsidR="0049018D" w:rsidRPr="00524A62" w:rsidRDefault="0049018D" w:rsidP="009A3B86">
      <w:pPr>
        <w:pStyle w:val="Heading3"/>
        <w:numPr>
          <w:ilvl w:val="0"/>
          <w:numId w:val="22"/>
        </w:numPr>
        <w:spacing w:before="40" w:after="60"/>
        <w:ind w:left="714" w:hanging="357"/>
        <w:rPr>
          <w:rFonts w:asciiTheme="majorHAnsi" w:hAnsiTheme="majorHAnsi" w:cstheme="majorHAnsi"/>
          <w:color w:val="387782" w:themeColor="accent1" w:themeShade="BF"/>
          <w:sz w:val="24"/>
          <w:szCs w:val="24"/>
          <w:lang w:val="en-US"/>
        </w:rPr>
      </w:pPr>
      <w:bookmarkStart w:id="30" w:name="_Toc219972878"/>
      <w:r w:rsidRPr="00524A62">
        <w:rPr>
          <w:rFonts w:asciiTheme="majorHAnsi" w:hAnsiTheme="majorHAnsi" w:cstheme="majorHAnsi"/>
          <w:color w:val="387782" w:themeColor="accent1" w:themeShade="BF"/>
          <w:sz w:val="24"/>
          <w:szCs w:val="24"/>
          <w:lang w:val="en-US"/>
        </w:rPr>
        <w:t>Feed-in Tariff (FIT)</w:t>
      </w:r>
      <w:bookmarkEnd w:id="30"/>
    </w:p>
    <w:p w14:paraId="3BF3C453" w14:textId="77777777" w:rsidR="0049018D" w:rsidRPr="00524A62" w:rsidRDefault="0049018D" w:rsidP="0049018D">
      <w:pPr>
        <w:rPr>
          <w:rFonts w:cstheme="minorHAnsi"/>
          <w:lang w:val="en-US"/>
        </w:rPr>
      </w:pPr>
      <w:r w:rsidRPr="00524A62">
        <w:rPr>
          <w:rFonts w:cstheme="minorHAnsi"/>
          <w:lang w:val="en-US"/>
        </w:rPr>
        <w:t xml:space="preserve">Under a FIT, renewable power generators are paid a fixed sum of money for energy fed into the grid for a number of years. </w:t>
      </w:r>
    </w:p>
    <w:p w14:paraId="11BF6CB0" w14:textId="77777777" w:rsidR="0049018D" w:rsidRPr="00524A62" w:rsidRDefault="0049018D" w:rsidP="0049018D">
      <w:pPr>
        <w:rPr>
          <w:rFonts w:cstheme="minorHAnsi"/>
          <w:lang w:val="en-US"/>
        </w:rPr>
      </w:pPr>
      <w:r w:rsidRPr="00524A62">
        <w:rPr>
          <w:rFonts w:cstheme="minorHAnsi"/>
          <w:lang w:val="en-US"/>
        </w:rPr>
        <w:t xml:space="preserve">Sometimes, the tariff paid for new installations decreases (either per year or sometimes per month or quarter); the amount paid to an existing installation is not affected. For example, a FIT for new installation may be EUR 0.08 per kWh in 2005 and is set to decrease by 10% per year for installations </w:t>
      </w:r>
      <w:r w:rsidRPr="00524A62">
        <w:rPr>
          <w:rFonts w:cstheme="minorHAnsi"/>
          <w:lang w:val="en-US"/>
        </w:rPr>
        <w:lastRenderedPageBreak/>
        <w:t>thereafter (so EUR 0.072 per kWh for installations completed in 2006, EUR 0.648 per kWh for those completed in 2007, and so on). This pre-defined rate of tariff decrease is called “</w:t>
      </w:r>
      <w:r w:rsidRPr="00524A62">
        <w:rPr>
          <w:rFonts w:cstheme="minorHAnsi"/>
          <w:b/>
          <w:bCs/>
          <w:lang w:val="en-US"/>
        </w:rPr>
        <w:t>degression</w:t>
      </w:r>
      <w:r w:rsidRPr="00524A62">
        <w:rPr>
          <w:rFonts w:cstheme="minorHAnsi"/>
          <w:lang w:val="en-US"/>
        </w:rPr>
        <w:t xml:space="preserve">”. </w:t>
      </w:r>
    </w:p>
    <w:p w14:paraId="77B948D1" w14:textId="362A0915" w:rsidR="0049018D" w:rsidRPr="00524A62" w:rsidRDefault="0049018D" w:rsidP="0049018D">
      <w:pPr>
        <w:rPr>
          <w:rFonts w:cstheme="minorHAnsi"/>
          <w:lang w:val="en-US"/>
        </w:rPr>
      </w:pPr>
      <w:r w:rsidRPr="00524A62">
        <w:rPr>
          <w:rFonts w:cstheme="minorHAnsi"/>
          <w:lang w:val="en-US"/>
        </w:rPr>
        <w:t xml:space="preserve">In most cases, FITs are open to all new generators fulfilling the requirements, but sometimes the support is limited by an overall </w:t>
      </w:r>
      <w:r w:rsidRPr="00524A62">
        <w:rPr>
          <w:rFonts w:cstheme="minorHAnsi"/>
          <w:b/>
          <w:bCs/>
          <w:lang w:val="en-US"/>
        </w:rPr>
        <w:t>cap</w:t>
      </w:r>
      <w:r w:rsidRPr="00524A62">
        <w:rPr>
          <w:rFonts w:cstheme="minorHAnsi"/>
          <w:lang w:val="en-US"/>
        </w:rPr>
        <w:t>, limiting the total capacity supported by the policy</w:t>
      </w:r>
      <w:r w:rsidR="00ED4169" w:rsidRPr="00524A62">
        <w:rPr>
          <w:rFonts w:cstheme="minorHAnsi"/>
          <w:lang w:val="en-US"/>
        </w:rPr>
        <w:t xml:space="preserve"> (or a maximum of how much can be spent).</w:t>
      </w:r>
    </w:p>
    <w:p w14:paraId="1A2B7290" w14:textId="77777777" w:rsidR="0049018D" w:rsidRPr="00524A62" w:rsidRDefault="0049018D" w:rsidP="0049018D">
      <w:pPr>
        <w:rPr>
          <w:rFonts w:cstheme="minorHAnsi"/>
          <w:lang w:val="en-US"/>
        </w:rPr>
      </w:pPr>
      <w:r w:rsidRPr="00524A62">
        <w:rPr>
          <w:rFonts w:cstheme="minorHAnsi"/>
          <w:lang w:val="en-US"/>
        </w:rPr>
        <w:t xml:space="preserve">For FITs, we record the support level, degression and cap data (if applicable). FITs often have multiple conditions. Many European FITs were phased out in 2016, leaving only very limited installations still eligible for support. We record data on small-scale support, but data users should pay careful </w:t>
      </w:r>
      <w:r w:rsidRPr="00524A62">
        <w:rPr>
          <w:rFonts w:cstheme="minorHAnsi"/>
          <w:b/>
          <w:bCs/>
          <w:lang w:val="en-US"/>
        </w:rPr>
        <w:t>attention to the</w:t>
      </w:r>
      <w:r w:rsidRPr="00524A62">
        <w:rPr>
          <w:rFonts w:cstheme="minorHAnsi"/>
          <w:lang w:val="en-US"/>
        </w:rPr>
        <w:t xml:space="preserve"> </w:t>
      </w:r>
      <w:r w:rsidRPr="00524A62">
        <w:rPr>
          <w:rFonts w:cstheme="minorHAnsi"/>
          <w:b/>
          <w:bCs/>
          <w:lang w:val="en-US"/>
        </w:rPr>
        <w:t xml:space="preserve">conditions columns </w:t>
      </w:r>
      <w:r w:rsidRPr="00524A62">
        <w:rPr>
          <w:rFonts w:cstheme="minorHAnsi"/>
          <w:lang w:val="en-US"/>
        </w:rPr>
        <w:t xml:space="preserve">to understand which installations were eligible for FITs.  </w:t>
      </w:r>
    </w:p>
    <w:p w14:paraId="0FD6C2E0" w14:textId="03DCECF2" w:rsidR="0049018D" w:rsidRPr="00524A62" w:rsidRDefault="0049018D" w:rsidP="009A3B86">
      <w:pPr>
        <w:pStyle w:val="Heading3"/>
        <w:numPr>
          <w:ilvl w:val="0"/>
          <w:numId w:val="22"/>
        </w:numPr>
        <w:spacing w:before="40" w:after="60"/>
        <w:ind w:left="714" w:hanging="357"/>
        <w:rPr>
          <w:rFonts w:asciiTheme="majorHAnsi" w:hAnsiTheme="majorHAnsi" w:cstheme="majorHAnsi"/>
          <w:color w:val="387782" w:themeColor="accent1" w:themeShade="BF"/>
          <w:sz w:val="24"/>
          <w:szCs w:val="24"/>
          <w:lang w:val="en-US"/>
        </w:rPr>
      </w:pPr>
      <w:bookmarkStart w:id="31" w:name="_Toc219972879"/>
      <w:r w:rsidRPr="00524A62">
        <w:rPr>
          <w:rFonts w:asciiTheme="majorHAnsi" w:hAnsiTheme="majorHAnsi" w:cstheme="majorHAnsi"/>
          <w:color w:val="387782" w:themeColor="accent1" w:themeShade="BF"/>
          <w:sz w:val="24"/>
          <w:szCs w:val="24"/>
          <w:lang w:val="en-US"/>
        </w:rPr>
        <w:t>Feed-in Premium (FIP)</w:t>
      </w:r>
      <w:bookmarkEnd w:id="31"/>
    </w:p>
    <w:p w14:paraId="3CFEC692" w14:textId="160B3764" w:rsidR="0049018D" w:rsidRPr="00524A62" w:rsidRDefault="0049018D" w:rsidP="0049018D">
      <w:pPr>
        <w:rPr>
          <w:rFonts w:cstheme="minorHAnsi"/>
          <w:lang w:val="en-US"/>
        </w:rPr>
      </w:pPr>
      <w:r w:rsidRPr="00524A62">
        <w:rPr>
          <w:rFonts w:cstheme="minorHAnsi"/>
          <w:lang w:val="en-US"/>
        </w:rPr>
        <w:t xml:space="preserve">Renewable power generators are paid a premium on top of the price they achieve in the general electricity market, for electricity fed into the grid, for a number of years into the future. Sometimes, the premium paid to new installations decreases at a pre-defined rate (the degression). In most cases, premiums are open to all new generators fulfilling the requirements, but sometimes the support is limited by an overall cap, limiting the total capacity supported by the policy. For this instrument, we record information on the degression, unit of degression, cap, and until when the cap is valid. </w:t>
      </w:r>
    </w:p>
    <w:p w14:paraId="500791DD" w14:textId="2915F2A6" w:rsidR="0070318A" w:rsidRPr="00524A62" w:rsidRDefault="00BD4F4D" w:rsidP="0049018D">
      <w:pPr>
        <w:rPr>
          <w:rFonts w:cstheme="minorHAnsi"/>
          <w:lang w:val="en-US"/>
        </w:rPr>
      </w:pPr>
      <w:r w:rsidRPr="00524A62">
        <w:rPr>
          <w:rFonts w:cstheme="minorHAnsi"/>
          <w:lang w:val="en-US"/>
        </w:rPr>
        <w:t xml:space="preserve">There are different kinds of </w:t>
      </w:r>
      <w:r w:rsidR="005D6481" w:rsidRPr="00524A62">
        <w:rPr>
          <w:rFonts w:cstheme="minorHAnsi"/>
          <w:lang w:val="en-US"/>
        </w:rPr>
        <w:t>feed-in premiums that can be awarded</w:t>
      </w:r>
      <w:r w:rsidR="00FC66D7" w:rsidRPr="00524A62">
        <w:rPr>
          <w:rFonts w:cstheme="minorHAnsi"/>
          <w:lang w:val="en-US"/>
        </w:rPr>
        <w:t xml:space="preserve">. Some premiums are a fixed amount on top of the market price, while others </w:t>
      </w:r>
      <w:r w:rsidR="00386E6F" w:rsidRPr="00524A62">
        <w:rPr>
          <w:rFonts w:cstheme="minorHAnsi"/>
          <w:lang w:val="en-US"/>
        </w:rPr>
        <w:t xml:space="preserve">are </w:t>
      </w:r>
      <w:r w:rsidR="00FC66D7" w:rsidRPr="00524A62">
        <w:rPr>
          <w:rFonts w:cstheme="minorHAnsi"/>
          <w:lang w:val="en-US"/>
        </w:rPr>
        <w:t>“floating” where the</w:t>
      </w:r>
      <w:r w:rsidR="00BD6B4A" w:rsidRPr="00524A62">
        <w:rPr>
          <w:rFonts w:cstheme="minorHAnsi"/>
          <w:lang w:val="en-US"/>
        </w:rPr>
        <w:t xml:space="preserve"> premium</w:t>
      </w:r>
      <w:r w:rsidR="00FC66D7" w:rsidRPr="00524A62">
        <w:rPr>
          <w:rFonts w:cstheme="minorHAnsi"/>
          <w:lang w:val="en-US"/>
        </w:rPr>
        <w:t xml:space="preserve"> depend</w:t>
      </w:r>
      <w:r w:rsidR="00BD6B4A" w:rsidRPr="00524A62">
        <w:rPr>
          <w:rFonts w:cstheme="minorHAnsi"/>
          <w:lang w:val="en-US"/>
        </w:rPr>
        <w:t>s on market prices.</w:t>
      </w:r>
    </w:p>
    <w:p w14:paraId="2B50EE48" w14:textId="29EAF118" w:rsidR="00855076" w:rsidRPr="00524A62" w:rsidRDefault="00FC66D7" w:rsidP="0049018D">
      <w:pPr>
        <w:rPr>
          <w:rFonts w:cstheme="minorHAnsi"/>
          <w:lang w:val="en-US"/>
        </w:rPr>
      </w:pPr>
      <w:r w:rsidRPr="00524A62">
        <w:rPr>
          <w:rFonts w:cstheme="minorHAnsi"/>
          <w:lang w:val="en-US"/>
        </w:rPr>
        <w:t>Information on</w:t>
      </w:r>
      <w:r w:rsidR="0070318A" w:rsidRPr="00524A62">
        <w:rPr>
          <w:rFonts w:cstheme="minorHAnsi"/>
          <w:lang w:val="en-US"/>
        </w:rPr>
        <w:t xml:space="preserve"> how</w:t>
      </w:r>
      <w:r w:rsidRPr="00524A62">
        <w:rPr>
          <w:rFonts w:cstheme="minorHAnsi"/>
          <w:lang w:val="en-US"/>
        </w:rPr>
        <w:t xml:space="preserve"> the types of premiums are</w:t>
      </w:r>
      <w:r w:rsidR="0070318A" w:rsidRPr="00524A62">
        <w:rPr>
          <w:rFonts w:cstheme="minorHAnsi"/>
          <w:lang w:val="en-US"/>
        </w:rPr>
        <w:t xml:space="preserve"> recorded is</w:t>
      </w:r>
      <w:r w:rsidRPr="00524A62">
        <w:rPr>
          <w:rFonts w:cstheme="minorHAnsi"/>
          <w:lang w:val="en-US"/>
        </w:rPr>
        <w:t xml:space="preserve"> below. </w:t>
      </w:r>
      <w:r w:rsidR="00855076" w:rsidRPr="00524A62">
        <w:rPr>
          <w:rFonts w:cstheme="minorHAnsi"/>
          <w:lang w:val="en-US"/>
        </w:rPr>
        <w:t>We record support levels in the “level” columns, and reference prices</w:t>
      </w:r>
      <w:r w:rsidR="00087AE3" w:rsidRPr="00524A62">
        <w:rPr>
          <w:rFonts w:cstheme="minorHAnsi"/>
          <w:lang w:val="en-US"/>
        </w:rPr>
        <w:t xml:space="preserve"> (relevant for </w:t>
      </w:r>
      <w:r w:rsidR="001B6CA7" w:rsidRPr="00524A62">
        <w:rPr>
          <w:rFonts w:cstheme="minorHAnsi"/>
          <w:lang w:val="en-US"/>
        </w:rPr>
        <w:t>floating FIPs)</w:t>
      </w:r>
      <w:r w:rsidR="00855076" w:rsidRPr="00524A62">
        <w:rPr>
          <w:rFonts w:cstheme="minorHAnsi"/>
          <w:lang w:val="en-US"/>
        </w:rPr>
        <w:t xml:space="preserve"> in the “refprice”.</w:t>
      </w:r>
    </w:p>
    <w:p w14:paraId="2F804989" w14:textId="1CFF1053" w:rsidR="00194BBF" w:rsidRPr="00524A62" w:rsidRDefault="00786C02" w:rsidP="00786C02">
      <w:pPr>
        <w:pStyle w:val="Caption"/>
        <w:rPr>
          <w:lang w:val="en-US"/>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17</w:t>
      </w:r>
      <w:r w:rsidRPr="00551268">
        <w:rPr>
          <w:noProof/>
          <w:lang w:val="en-US"/>
        </w:rPr>
        <w:fldChar w:fldCharType="end"/>
      </w:r>
      <w:r w:rsidRPr="00551268">
        <w:rPr>
          <w:lang w:val="en-US"/>
        </w:rPr>
        <w:t>:</w:t>
      </w:r>
      <w:r w:rsidR="00194BBF" w:rsidRPr="00524A62">
        <w:rPr>
          <w:lang w:val="en-US"/>
        </w:rPr>
        <w:t xml:space="preserve"> </w:t>
      </w:r>
      <w:r w:rsidR="00C21332" w:rsidRPr="00524A62">
        <w:rPr>
          <w:lang w:val="en-US"/>
        </w:rPr>
        <w:t>Premium types</w:t>
      </w:r>
    </w:p>
    <w:tbl>
      <w:tblPr>
        <w:tblStyle w:val="TableGrid"/>
        <w:tblW w:w="9875" w:type="dxa"/>
        <w:tblLayout w:type="fixed"/>
        <w:tblLook w:val="04A0" w:firstRow="1" w:lastRow="0" w:firstColumn="1" w:lastColumn="0" w:noHBand="0" w:noVBand="1"/>
      </w:tblPr>
      <w:tblGrid>
        <w:gridCol w:w="1113"/>
        <w:gridCol w:w="2259"/>
        <w:gridCol w:w="4204"/>
        <w:gridCol w:w="2299"/>
      </w:tblGrid>
      <w:tr w:rsidR="005D6481" w:rsidRPr="00524A62" w14:paraId="556E8BAE" w14:textId="77777777" w:rsidTr="00401873">
        <w:trPr>
          <w:trHeight w:val="140"/>
        </w:trPr>
        <w:tc>
          <w:tcPr>
            <w:tcW w:w="1113" w:type="dxa"/>
          </w:tcPr>
          <w:p w14:paraId="4EF154E9" w14:textId="77777777" w:rsidR="005D6481" w:rsidRPr="00524A62" w:rsidRDefault="005D6481" w:rsidP="00A73A7A">
            <w:pPr>
              <w:rPr>
                <w:b/>
                <w:bCs/>
                <w:lang w:val="en-US"/>
              </w:rPr>
            </w:pPr>
            <w:r w:rsidRPr="00524A62">
              <w:rPr>
                <w:b/>
                <w:bCs/>
                <w:lang w:val="en-US"/>
              </w:rPr>
              <w:t>Policy name</w:t>
            </w:r>
          </w:p>
        </w:tc>
        <w:tc>
          <w:tcPr>
            <w:tcW w:w="2259" w:type="dxa"/>
          </w:tcPr>
          <w:p w14:paraId="1B5344AA" w14:textId="77777777" w:rsidR="005D6481" w:rsidRPr="00524A62" w:rsidRDefault="005D6481" w:rsidP="00A73A7A">
            <w:pPr>
              <w:rPr>
                <w:b/>
                <w:bCs/>
                <w:lang w:val="en-US"/>
              </w:rPr>
            </w:pPr>
            <w:r w:rsidRPr="00524A62">
              <w:rPr>
                <w:b/>
                <w:bCs/>
                <w:lang w:val="en-US"/>
              </w:rPr>
              <w:t>Definition</w:t>
            </w:r>
          </w:p>
        </w:tc>
        <w:tc>
          <w:tcPr>
            <w:tcW w:w="4204" w:type="dxa"/>
          </w:tcPr>
          <w:p w14:paraId="647DF550" w14:textId="77777777" w:rsidR="005D6481" w:rsidRPr="00524A62" w:rsidRDefault="005D6481" w:rsidP="00A73A7A">
            <w:pPr>
              <w:rPr>
                <w:b/>
                <w:bCs/>
                <w:lang w:val="en-US"/>
              </w:rPr>
            </w:pPr>
            <w:r w:rsidRPr="00524A62">
              <w:rPr>
                <w:b/>
                <w:bCs/>
                <w:lang w:val="en-US"/>
              </w:rPr>
              <w:t>Example</w:t>
            </w:r>
          </w:p>
        </w:tc>
        <w:tc>
          <w:tcPr>
            <w:tcW w:w="2299" w:type="dxa"/>
          </w:tcPr>
          <w:p w14:paraId="4F38E9CF" w14:textId="77777777" w:rsidR="005D6481" w:rsidRPr="00524A62" w:rsidRDefault="005D6481" w:rsidP="00A73A7A">
            <w:pPr>
              <w:rPr>
                <w:b/>
                <w:bCs/>
                <w:lang w:val="en-US"/>
              </w:rPr>
            </w:pPr>
            <w:r w:rsidRPr="00524A62">
              <w:rPr>
                <w:b/>
                <w:bCs/>
                <w:lang w:val="en-US"/>
              </w:rPr>
              <w:t>What to record:</w:t>
            </w:r>
          </w:p>
        </w:tc>
      </w:tr>
      <w:tr w:rsidR="005D6481" w:rsidRPr="00524A62" w14:paraId="47BC61B6" w14:textId="77777777" w:rsidTr="00401873">
        <w:trPr>
          <w:trHeight w:val="281"/>
        </w:trPr>
        <w:tc>
          <w:tcPr>
            <w:tcW w:w="1113" w:type="dxa"/>
          </w:tcPr>
          <w:p w14:paraId="6A5F7CEC" w14:textId="33B1926F" w:rsidR="005D6481" w:rsidRPr="00524A62" w:rsidRDefault="005D6481" w:rsidP="00A73A7A">
            <w:pPr>
              <w:rPr>
                <w:lang w:val="en-US"/>
              </w:rPr>
            </w:pPr>
            <w:r w:rsidRPr="00524A62">
              <w:rPr>
                <w:lang w:val="en-US"/>
              </w:rPr>
              <w:t>Fixed FIP</w:t>
            </w:r>
          </w:p>
        </w:tc>
        <w:tc>
          <w:tcPr>
            <w:tcW w:w="2259" w:type="dxa"/>
          </w:tcPr>
          <w:p w14:paraId="6C484824" w14:textId="77777777" w:rsidR="005D6481" w:rsidRPr="00524A62" w:rsidRDefault="005D6481" w:rsidP="00A73A7A">
            <w:pPr>
              <w:rPr>
                <w:lang w:val="en-US"/>
              </w:rPr>
            </w:pPr>
            <w:r w:rsidRPr="00524A62">
              <w:rPr>
                <w:lang w:val="en-US"/>
              </w:rPr>
              <w:t xml:space="preserve">Producers receive a </w:t>
            </w:r>
            <w:r w:rsidRPr="00524A62">
              <w:rPr>
                <w:b/>
                <w:bCs/>
                <w:lang w:val="en-US"/>
              </w:rPr>
              <w:t>fixed</w:t>
            </w:r>
            <w:r w:rsidRPr="00524A62">
              <w:rPr>
                <w:lang w:val="en-US"/>
              </w:rPr>
              <w:t xml:space="preserve"> </w:t>
            </w:r>
            <w:r w:rsidRPr="00524A62">
              <w:rPr>
                <w:b/>
                <w:bCs/>
                <w:lang w:val="en-US"/>
              </w:rPr>
              <w:t>premium on top of the market price</w:t>
            </w:r>
            <w:r w:rsidRPr="00524A62">
              <w:rPr>
                <w:lang w:val="en-US"/>
              </w:rPr>
              <w:t xml:space="preserve">. </w:t>
            </w:r>
          </w:p>
        </w:tc>
        <w:tc>
          <w:tcPr>
            <w:tcW w:w="4204" w:type="dxa"/>
          </w:tcPr>
          <w:p w14:paraId="2C048830" w14:textId="312CCE5A" w:rsidR="005D6481" w:rsidRPr="00524A62" w:rsidRDefault="005D6481" w:rsidP="00A73A7A">
            <w:pPr>
              <w:rPr>
                <w:lang w:val="en-US"/>
              </w:rPr>
            </w:pPr>
            <w:r w:rsidRPr="00524A62">
              <w:rPr>
                <w:lang w:val="en-US"/>
              </w:rPr>
              <w:t>Producers get the market price, plus 4 cents</w:t>
            </w:r>
            <w:r w:rsidR="001767FC" w:rsidRPr="00524A62">
              <w:rPr>
                <w:lang w:val="en-US"/>
              </w:rPr>
              <w:t xml:space="preserve"> on top</w:t>
            </w:r>
            <w:r w:rsidRPr="00524A62">
              <w:rPr>
                <w:lang w:val="en-US"/>
              </w:rPr>
              <w:t xml:space="preserve"> (level = bonus paid per kWh)</w:t>
            </w:r>
          </w:p>
        </w:tc>
        <w:tc>
          <w:tcPr>
            <w:tcW w:w="2299" w:type="dxa"/>
          </w:tcPr>
          <w:p w14:paraId="44E95DB2" w14:textId="77777777" w:rsidR="005D6481" w:rsidRPr="00524A62" w:rsidRDefault="005D6481" w:rsidP="00A73A7A">
            <w:pPr>
              <w:rPr>
                <w:lang w:val="en-US"/>
              </w:rPr>
            </w:pPr>
            <w:r w:rsidRPr="00524A62">
              <w:rPr>
                <w:lang w:val="en-US"/>
              </w:rPr>
              <w:t>level: 4 cents per kWh</w:t>
            </w:r>
          </w:p>
        </w:tc>
      </w:tr>
      <w:tr w:rsidR="005D6481" w:rsidRPr="00524A62" w14:paraId="6A163C63" w14:textId="77777777" w:rsidTr="00401873">
        <w:trPr>
          <w:trHeight w:val="555"/>
        </w:trPr>
        <w:tc>
          <w:tcPr>
            <w:tcW w:w="1113" w:type="dxa"/>
          </w:tcPr>
          <w:p w14:paraId="20FD5A1C" w14:textId="632C2480" w:rsidR="005D6481" w:rsidRPr="00524A62" w:rsidRDefault="00861170" w:rsidP="00A73A7A">
            <w:pPr>
              <w:rPr>
                <w:lang w:val="en-US"/>
              </w:rPr>
            </w:pPr>
            <w:r w:rsidRPr="00524A62">
              <w:rPr>
                <w:lang w:val="en-US"/>
              </w:rPr>
              <w:t>O</w:t>
            </w:r>
            <w:r w:rsidR="005D6481" w:rsidRPr="00524A62">
              <w:rPr>
                <w:lang w:val="en-US"/>
              </w:rPr>
              <w:t>ne-sided floating FIP</w:t>
            </w:r>
          </w:p>
        </w:tc>
        <w:tc>
          <w:tcPr>
            <w:tcW w:w="2259" w:type="dxa"/>
          </w:tcPr>
          <w:p w14:paraId="3276B997" w14:textId="77777777" w:rsidR="005D6481" w:rsidRPr="00524A62" w:rsidRDefault="005D6481" w:rsidP="00A73A7A">
            <w:pPr>
              <w:rPr>
                <w:lang w:val="en-US"/>
              </w:rPr>
            </w:pPr>
            <w:r w:rsidRPr="00524A62">
              <w:rPr>
                <w:lang w:val="en-US"/>
              </w:rPr>
              <w:t xml:space="preserve">Producers receive a </w:t>
            </w:r>
            <w:r w:rsidRPr="00524A62">
              <w:rPr>
                <w:b/>
                <w:bCs/>
                <w:lang w:val="en-US"/>
              </w:rPr>
              <w:t>variable</w:t>
            </w:r>
            <w:r w:rsidRPr="00524A62">
              <w:rPr>
                <w:lang w:val="en-US"/>
              </w:rPr>
              <w:t xml:space="preserve"> </w:t>
            </w:r>
            <w:r w:rsidRPr="00524A62">
              <w:rPr>
                <w:b/>
                <w:bCs/>
                <w:lang w:val="en-US"/>
              </w:rPr>
              <w:t>premium</w:t>
            </w:r>
            <w:r w:rsidRPr="00524A62">
              <w:rPr>
                <w:lang w:val="en-US"/>
              </w:rPr>
              <w:t>, depending on electricity prices. The maximum threshold for electricity prices when they do not get any more premium is set (usually called the reference price – NOTE – this is different from reference prices in 2-sided FIPs)</w:t>
            </w:r>
          </w:p>
        </w:tc>
        <w:tc>
          <w:tcPr>
            <w:tcW w:w="4204" w:type="dxa"/>
          </w:tcPr>
          <w:p w14:paraId="0FBAB265" w14:textId="4C583E09" w:rsidR="005D6481" w:rsidRPr="00524A62" w:rsidRDefault="000F2008" w:rsidP="00A73A7A">
            <w:pPr>
              <w:rPr>
                <w:lang w:val="en-US"/>
              </w:rPr>
            </w:pPr>
            <w:r w:rsidRPr="00524A62">
              <w:rPr>
                <w:lang w:val="en-US"/>
              </w:rPr>
              <w:t xml:space="preserve">The government sets a </w:t>
            </w:r>
            <w:r w:rsidR="005D6481" w:rsidRPr="00524A62">
              <w:rPr>
                <w:lang w:val="en-US"/>
              </w:rPr>
              <w:t>reference price of 30 cents per MWh, and a premium of 2.58 cents per MWh. When the market goes below the reference price (for example, market price of 10 cents per MWh), they receive the 2.58 cents per MWh on top (12.58 cents). When the market goes above the reference price + premium (32.58 cents) they do not receive the premium.</w:t>
            </w:r>
          </w:p>
          <w:p w14:paraId="14D3CDB3" w14:textId="77777777" w:rsidR="005D6481" w:rsidRPr="00524A62" w:rsidRDefault="005D6481" w:rsidP="00A73A7A">
            <w:pPr>
              <w:rPr>
                <w:lang w:val="en-US"/>
              </w:rPr>
            </w:pPr>
            <w:r w:rsidRPr="00524A62">
              <w:rPr>
                <w:lang w:val="en-US"/>
              </w:rPr>
              <w:t>(level = bonus paid per kWh; refprice = reference price)</w:t>
            </w:r>
          </w:p>
        </w:tc>
        <w:tc>
          <w:tcPr>
            <w:tcW w:w="2299" w:type="dxa"/>
          </w:tcPr>
          <w:p w14:paraId="1C870161" w14:textId="77777777" w:rsidR="005D6481" w:rsidRPr="00524A62" w:rsidRDefault="005D6481" w:rsidP="00A73A7A">
            <w:pPr>
              <w:rPr>
                <w:lang w:val="en-US"/>
              </w:rPr>
            </w:pPr>
            <w:r w:rsidRPr="00524A62">
              <w:rPr>
                <w:lang w:val="en-US"/>
              </w:rPr>
              <w:t>level: 2.58 cents per MWh</w:t>
            </w:r>
          </w:p>
          <w:p w14:paraId="024CA64E" w14:textId="77777777" w:rsidR="005D6481" w:rsidRPr="00524A62" w:rsidRDefault="005D6481" w:rsidP="00A73A7A">
            <w:pPr>
              <w:rPr>
                <w:lang w:val="en-US"/>
              </w:rPr>
            </w:pPr>
          </w:p>
          <w:p w14:paraId="5194BD6D" w14:textId="77777777" w:rsidR="005D6481" w:rsidRPr="00524A62" w:rsidRDefault="005D6481" w:rsidP="00A73A7A">
            <w:pPr>
              <w:rPr>
                <w:lang w:val="en-US"/>
              </w:rPr>
            </w:pPr>
            <w:r w:rsidRPr="00524A62">
              <w:rPr>
                <w:lang w:val="en-US"/>
              </w:rPr>
              <w:t xml:space="preserve">refprice: 30 cents per MWh </w:t>
            </w:r>
          </w:p>
          <w:p w14:paraId="5233D631" w14:textId="77777777" w:rsidR="005D6481" w:rsidRPr="00524A62" w:rsidRDefault="005D6481" w:rsidP="00A73A7A">
            <w:pPr>
              <w:rPr>
                <w:lang w:val="en-US"/>
              </w:rPr>
            </w:pPr>
          </w:p>
          <w:p w14:paraId="29ACED3E" w14:textId="6FEE4B1C" w:rsidR="005D6481" w:rsidRPr="00524A62" w:rsidRDefault="005D6481" w:rsidP="00A73A7A">
            <w:pPr>
              <w:rPr>
                <w:lang w:val="en-US"/>
              </w:rPr>
            </w:pPr>
            <w:r w:rsidRPr="00524A62">
              <w:rPr>
                <w:b/>
                <w:bCs/>
                <w:lang w:val="en-US"/>
              </w:rPr>
              <w:t>NOTE:</w:t>
            </w:r>
            <w:r w:rsidRPr="00524A62">
              <w:rPr>
                <w:lang w:val="en-US"/>
              </w:rPr>
              <w:t xml:space="preserve"> in</w:t>
            </w:r>
            <w:r w:rsidR="00B03264" w:rsidRPr="00524A62">
              <w:rPr>
                <w:lang w:val="en-US"/>
              </w:rPr>
              <w:t xml:space="preserve"> some cases, we only know the refprice or the level, but not both. We record whatever information is available.</w:t>
            </w:r>
          </w:p>
        </w:tc>
      </w:tr>
      <w:tr w:rsidR="005D6481" w:rsidRPr="00524A62" w14:paraId="0E07AA52" w14:textId="77777777" w:rsidTr="00401873">
        <w:trPr>
          <w:trHeight w:val="423"/>
        </w:trPr>
        <w:tc>
          <w:tcPr>
            <w:tcW w:w="1113" w:type="dxa"/>
          </w:tcPr>
          <w:p w14:paraId="72178C23" w14:textId="4D9BE8EE" w:rsidR="005D6481" w:rsidRPr="00524A62" w:rsidRDefault="00442D6C" w:rsidP="00A73A7A">
            <w:pPr>
              <w:rPr>
                <w:lang w:val="en-US"/>
              </w:rPr>
            </w:pPr>
            <w:r w:rsidRPr="00524A62">
              <w:rPr>
                <w:lang w:val="en-US"/>
              </w:rPr>
              <w:t>T</w:t>
            </w:r>
            <w:r w:rsidR="005D6481" w:rsidRPr="00524A62">
              <w:rPr>
                <w:lang w:val="en-US"/>
              </w:rPr>
              <w:t>wo-sided floating FIP (CfD)</w:t>
            </w:r>
          </w:p>
        </w:tc>
        <w:tc>
          <w:tcPr>
            <w:tcW w:w="2259" w:type="dxa"/>
          </w:tcPr>
          <w:p w14:paraId="0C680351" w14:textId="77777777" w:rsidR="005D6481" w:rsidRPr="00524A62" w:rsidRDefault="005D6481" w:rsidP="00A73A7A">
            <w:pPr>
              <w:rPr>
                <w:lang w:val="en-US"/>
              </w:rPr>
            </w:pPr>
            <w:r w:rsidRPr="00524A62">
              <w:rPr>
                <w:lang w:val="en-US"/>
              </w:rPr>
              <w:t xml:space="preserve">Producers receive a </w:t>
            </w:r>
            <w:r w:rsidRPr="00524A62">
              <w:rPr>
                <w:b/>
                <w:bCs/>
                <w:lang w:val="en-US"/>
              </w:rPr>
              <w:t>variable premium</w:t>
            </w:r>
            <w:r w:rsidRPr="00524A62">
              <w:rPr>
                <w:lang w:val="en-US"/>
              </w:rPr>
              <w:t xml:space="preserve">, usually called a reference price or </w:t>
            </w:r>
            <w:r w:rsidRPr="00524A62">
              <w:rPr>
                <w:lang w:val="en-US"/>
              </w:rPr>
              <w:lastRenderedPageBreak/>
              <w:t>strike price. Works like a 1-sided FIP EXCEPT if they make more than this reference price, they must pay it back.</w:t>
            </w:r>
          </w:p>
        </w:tc>
        <w:tc>
          <w:tcPr>
            <w:tcW w:w="4204" w:type="dxa"/>
          </w:tcPr>
          <w:p w14:paraId="0D5403C9" w14:textId="3DD94BD5" w:rsidR="005D6481" w:rsidRPr="00524A62" w:rsidRDefault="00A27930" w:rsidP="00A73A7A">
            <w:pPr>
              <w:rPr>
                <w:lang w:val="en-US"/>
              </w:rPr>
            </w:pPr>
            <w:r w:rsidRPr="00524A62">
              <w:rPr>
                <w:lang w:val="en-US"/>
              </w:rPr>
              <w:lastRenderedPageBreak/>
              <w:t>The government sets the revenue per kWh that should be awarded at 6.4 cents per kWh</w:t>
            </w:r>
            <w:r w:rsidR="005D6481" w:rsidRPr="00524A62">
              <w:rPr>
                <w:lang w:val="en-US"/>
              </w:rPr>
              <w:t xml:space="preserve"> (level = total revenue per kWh).</w:t>
            </w:r>
          </w:p>
        </w:tc>
        <w:tc>
          <w:tcPr>
            <w:tcW w:w="2299" w:type="dxa"/>
          </w:tcPr>
          <w:p w14:paraId="6B21E2D3" w14:textId="77777777" w:rsidR="005D6481" w:rsidRPr="00524A62" w:rsidRDefault="005D6481" w:rsidP="00A73A7A">
            <w:pPr>
              <w:rPr>
                <w:lang w:val="en-US"/>
              </w:rPr>
            </w:pPr>
            <w:r w:rsidRPr="00524A62">
              <w:rPr>
                <w:lang w:val="en-US"/>
              </w:rPr>
              <w:t>Level:  6.4 cents per kWh</w:t>
            </w:r>
          </w:p>
        </w:tc>
      </w:tr>
    </w:tbl>
    <w:p w14:paraId="4EA5EFE7" w14:textId="77777777" w:rsidR="005D6481" w:rsidRPr="00524A62" w:rsidRDefault="005D6481" w:rsidP="0049018D">
      <w:pPr>
        <w:rPr>
          <w:rFonts w:cstheme="minorHAnsi"/>
          <w:lang w:val="en-US"/>
        </w:rPr>
      </w:pPr>
    </w:p>
    <w:p w14:paraId="27B1AF55" w14:textId="1C1F2C49" w:rsidR="005D6481" w:rsidRPr="00524A62" w:rsidRDefault="00401873" w:rsidP="0049018D">
      <w:pPr>
        <w:rPr>
          <w:rFonts w:cstheme="minorHAnsi"/>
          <w:lang w:val="en-US"/>
        </w:rPr>
      </w:pPr>
      <w:r w:rsidRPr="00524A62">
        <w:rPr>
          <w:rFonts w:cstheme="minorHAnsi"/>
          <w:lang w:val="en-US"/>
        </w:rPr>
        <w:t>The key information for premiums is as follows:</w:t>
      </w:r>
    </w:p>
    <w:p w14:paraId="5D4FAB17" w14:textId="7C1DC384" w:rsidR="00786C02" w:rsidRPr="00524A62" w:rsidRDefault="00786C02" w:rsidP="00786C02">
      <w:pPr>
        <w:pStyle w:val="Caption"/>
        <w:rPr>
          <w:rFonts w:cstheme="minorHAnsi"/>
          <w:lang w:val="en-US" w:eastAsia="en-IN"/>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18</w:t>
      </w:r>
      <w:r w:rsidRPr="00551268">
        <w:rPr>
          <w:noProof/>
          <w:lang w:val="en-US"/>
        </w:rPr>
        <w:fldChar w:fldCharType="end"/>
      </w:r>
      <w:r w:rsidRPr="00551268">
        <w:rPr>
          <w:lang w:val="en-US"/>
        </w:rPr>
        <w:t xml:space="preserve">: </w:t>
      </w:r>
      <w:r>
        <w:rPr>
          <w:lang w:val="en-US"/>
        </w:rPr>
        <w:t>Variables for premiums</w:t>
      </w:r>
    </w:p>
    <w:tbl>
      <w:tblPr>
        <w:tblStyle w:val="TableGrid"/>
        <w:tblW w:w="0" w:type="auto"/>
        <w:tblLook w:val="04A0" w:firstRow="1" w:lastRow="0" w:firstColumn="1" w:lastColumn="0" w:noHBand="0" w:noVBand="1"/>
      </w:tblPr>
      <w:tblGrid>
        <w:gridCol w:w="3020"/>
        <w:gridCol w:w="3021"/>
        <w:gridCol w:w="3021"/>
      </w:tblGrid>
      <w:tr w:rsidR="00E510F8" w:rsidRPr="00524A62" w14:paraId="35FAB699" w14:textId="77777777" w:rsidTr="00E510F8">
        <w:tc>
          <w:tcPr>
            <w:tcW w:w="3020" w:type="dxa"/>
          </w:tcPr>
          <w:p w14:paraId="7184D122" w14:textId="00EAEF35" w:rsidR="00E510F8" w:rsidRPr="00524A62" w:rsidRDefault="00E510F8" w:rsidP="0049018D">
            <w:pPr>
              <w:rPr>
                <w:rFonts w:cstheme="minorHAnsi"/>
                <w:b/>
                <w:bCs/>
                <w:lang w:val="en-US"/>
              </w:rPr>
            </w:pPr>
            <w:r w:rsidRPr="00524A62">
              <w:rPr>
                <w:rFonts w:cstheme="minorHAnsi"/>
                <w:b/>
                <w:bCs/>
                <w:lang w:val="en-US"/>
              </w:rPr>
              <w:t>Variable</w:t>
            </w:r>
          </w:p>
        </w:tc>
        <w:tc>
          <w:tcPr>
            <w:tcW w:w="3021" w:type="dxa"/>
          </w:tcPr>
          <w:p w14:paraId="0F57EA95" w14:textId="418C6826" w:rsidR="00E510F8" w:rsidRPr="00524A62" w:rsidRDefault="00E510F8" w:rsidP="0049018D">
            <w:pPr>
              <w:rPr>
                <w:rFonts w:cstheme="minorHAnsi"/>
                <w:b/>
                <w:bCs/>
                <w:lang w:val="en-US"/>
              </w:rPr>
            </w:pPr>
            <w:r w:rsidRPr="00524A62">
              <w:rPr>
                <w:rFonts w:cstheme="minorHAnsi"/>
                <w:b/>
                <w:bCs/>
                <w:lang w:val="en-US"/>
              </w:rPr>
              <w:t>Definition</w:t>
            </w:r>
          </w:p>
        </w:tc>
        <w:tc>
          <w:tcPr>
            <w:tcW w:w="3021" w:type="dxa"/>
          </w:tcPr>
          <w:p w14:paraId="3ACF18E4" w14:textId="62CE0BF7" w:rsidR="00E510F8" w:rsidRPr="00524A62" w:rsidRDefault="005C419A" w:rsidP="0049018D">
            <w:pPr>
              <w:rPr>
                <w:rFonts w:cstheme="minorHAnsi"/>
                <w:lang w:val="en-US"/>
              </w:rPr>
            </w:pPr>
            <w:r w:rsidRPr="00524A62">
              <w:rPr>
                <w:rFonts w:cstheme="minorHAnsi"/>
                <w:b/>
                <w:bCs/>
                <w:lang w:val="en-US"/>
              </w:rPr>
              <w:t>V</w:t>
            </w:r>
            <w:r w:rsidR="005D032A" w:rsidRPr="00524A62">
              <w:rPr>
                <w:rFonts w:cstheme="minorHAnsi"/>
                <w:b/>
                <w:bCs/>
                <w:lang w:val="en-US"/>
              </w:rPr>
              <w:t>alues</w:t>
            </w:r>
          </w:p>
        </w:tc>
      </w:tr>
      <w:tr w:rsidR="00E510F8" w:rsidRPr="008D4356" w14:paraId="6DECFE6A" w14:textId="77777777" w:rsidTr="00E510F8">
        <w:tc>
          <w:tcPr>
            <w:tcW w:w="3020" w:type="dxa"/>
          </w:tcPr>
          <w:p w14:paraId="6E3BE844" w14:textId="40C5DD61" w:rsidR="00E510F8" w:rsidRPr="00524A62" w:rsidRDefault="00E510F8" w:rsidP="00E510F8">
            <w:pPr>
              <w:rPr>
                <w:rFonts w:cstheme="minorHAnsi"/>
                <w:lang w:val="en-US"/>
              </w:rPr>
            </w:pPr>
            <w:r w:rsidRPr="00524A62">
              <w:rPr>
                <w:rFonts w:cstheme="minorHAnsi"/>
                <w:lang w:val="en-US"/>
              </w:rPr>
              <w:t>premium_type</w:t>
            </w:r>
          </w:p>
        </w:tc>
        <w:tc>
          <w:tcPr>
            <w:tcW w:w="3021" w:type="dxa"/>
          </w:tcPr>
          <w:p w14:paraId="0B4A6CFF" w14:textId="13DC9AE7" w:rsidR="00E510F8" w:rsidRPr="00524A62" w:rsidRDefault="00E510F8" w:rsidP="00E510F8">
            <w:pPr>
              <w:rPr>
                <w:rFonts w:cstheme="minorHAnsi"/>
                <w:lang w:val="en-US"/>
              </w:rPr>
            </w:pPr>
            <w:r w:rsidRPr="00524A62">
              <w:rPr>
                <w:rFonts w:cstheme="minorHAnsi"/>
                <w:lang w:val="en-US"/>
              </w:rPr>
              <w:t>The type of FIP</w:t>
            </w:r>
          </w:p>
        </w:tc>
        <w:tc>
          <w:tcPr>
            <w:tcW w:w="3021" w:type="dxa"/>
          </w:tcPr>
          <w:p w14:paraId="41442284" w14:textId="393EE1E8" w:rsidR="00E510F8" w:rsidRPr="00524A62" w:rsidRDefault="00066418" w:rsidP="00E510F8">
            <w:pPr>
              <w:rPr>
                <w:rFonts w:cstheme="minorHAnsi"/>
                <w:lang w:val="en-US"/>
              </w:rPr>
            </w:pPr>
            <w:r w:rsidRPr="00524A62">
              <w:rPr>
                <w:rFonts w:cstheme="minorHAnsi"/>
                <w:lang w:val="en-US"/>
              </w:rPr>
              <w:t>fixed</w:t>
            </w:r>
            <w:r w:rsidR="009906D8" w:rsidRPr="00524A62">
              <w:rPr>
                <w:rFonts w:cstheme="minorHAnsi"/>
                <w:lang w:val="en-US"/>
              </w:rPr>
              <w:t>, one-sided floating</w:t>
            </w:r>
            <w:r w:rsidR="006C15BB" w:rsidRPr="00524A62">
              <w:rPr>
                <w:rFonts w:cstheme="minorHAnsi"/>
                <w:lang w:val="en-US"/>
              </w:rPr>
              <w:t xml:space="preserve">, </w:t>
            </w:r>
            <w:r w:rsidR="009906D8" w:rsidRPr="00524A62">
              <w:rPr>
                <w:rFonts w:cstheme="minorHAnsi"/>
                <w:lang w:val="en-US"/>
              </w:rPr>
              <w:t>two-sided floating</w:t>
            </w:r>
          </w:p>
        </w:tc>
      </w:tr>
      <w:tr w:rsidR="00401873" w:rsidRPr="00524A62" w14:paraId="7A991340" w14:textId="77777777" w:rsidTr="00E510F8">
        <w:tc>
          <w:tcPr>
            <w:tcW w:w="3020" w:type="dxa"/>
          </w:tcPr>
          <w:p w14:paraId="7752ABA7" w14:textId="5C1BBD2A" w:rsidR="00401873" w:rsidRPr="00524A62" w:rsidRDefault="009C0ADC" w:rsidP="00E510F8">
            <w:pPr>
              <w:rPr>
                <w:rFonts w:cstheme="minorHAnsi"/>
                <w:lang w:val="en-US"/>
              </w:rPr>
            </w:pPr>
            <w:r w:rsidRPr="00524A62">
              <w:rPr>
                <w:rFonts w:cstheme="minorHAnsi"/>
                <w:lang w:val="en-US"/>
              </w:rPr>
              <w:t>refprice</w:t>
            </w:r>
          </w:p>
        </w:tc>
        <w:tc>
          <w:tcPr>
            <w:tcW w:w="3021" w:type="dxa"/>
          </w:tcPr>
          <w:p w14:paraId="39902A4B" w14:textId="58249CA1" w:rsidR="00401873" w:rsidRPr="00524A62" w:rsidRDefault="00D76DE7" w:rsidP="00E510F8">
            <w:pPr>
              <w:rPr>
                <w:rFonts w:cstheme="minorHAnsi"/>
                <w:lang w:val="en-US"/>
              </w:rPr>
            </w:pPr>
            <w:r w:rsidRPr="00524A62">
              <w:rPr>
                <w:rFonts w:cstheme="minorHAnsi"/>
                <w:lang w:val="en-US"/>
              </w:rPr>
              <w:t xml:space="preserve">The </w:t>
            </w:r>
            <w:r w:rsidR="00265AF4" w:rsidRPr="00524A62">
              <w:rPr>
                <w:rFonts w:cstheme="minorHAnsi"/>
                <w:lang w:val="en-US"/>
              </w:rPr>
              <w:t>level of the reference price</w:t>
            </w:r>
          </w:p>
        </w:tc>
        <w:tc>
          <w:tcPr>
            <w:tcW w:w="3021" w:type="dxa"/>
          </w:tcPr>
          <w:p w14:paraId="6AB34633" w14:textId="31BE940B" w:rsidR="00401873" w:rsidRPr="00524A62" w:rsidRDefault="00265AF4" w:rsidP="00E510F8">
            <w:pPr>
              <w:rPr>
                <w:rFonts w:cstheme="minorHAnsi"/>
                <w:lang w:val="en-US"/>
              </w:rPr>
            </w:pPr>
            <w:r w:rsidRPr="00524A62">
              <w:rPr>
                <w:rFonts w:cstheme="minorHAnsi"/>
                <w:lang w:val="en-US"/>
              </w:rPr>
              <w:t>numeric</w:t>
            </w:r>
          </w:p>
        </w:tc>
      </w:tr>
      <w:tr w:rsidR="009C0ADC" w:rsidRPr="00524A62" w14:paraId="73B80696" w14:textId="77777777" w:rsidTr="006D373A">
        <w:trPr>
          <w:trHeight w:val="148"/>
        </w:trPr>
        <w:tc>
          <w:tcPr>
            <w:tcW w:w="3020" w:type="dxa"/>
          </w:tcPr>
          <w:p w14:paraId="36A7FC57" w14:textId="7E971EC4" w:rsidR="009C0ADC" w:rsidRPr="00524A62" w:rsidRDefault="009C0ADC" w:rsidP="00E510F8">
            <w:pPr>
              <w:rPr>
                <w:rFonts w:cstheme="minorHAnsi"/>
                <w:lang w:val="en-US"/>
              </w:rPr>
            </w:pPr>
            <w:r w:rsidRPr="00524A62">
              <w:rPr>
                <w:rFonts w:cstheme="minorHAnsi"/>
                <w:lang w:val="en-US"/>
              </w:rPr>
              <w:t>refprice_unit</w:t>
            </w:r>
          </w:p>
        </w:tc>
        <w:tc>
          <w:tcPr>
            <w:tcW w:w="3021" w:type="dxa"/>
          </w:tcPr>
          <w:p w14:paraId="65885751" w14:textId="04923518" w:rsidR="009C0ADC" w:rsidRPr="00524A62" w:rsidRDefault="00265AF4" w:rsidP="00E510F8">
            <w:pPr>
              <w:rPr>
                <w:rFonts w:cstheme="minorHAnsi"/>
                <w:lang w:val="en-US"/>
              </w:rPr>
            </w:pPr>
            <w:r w:rsidRPr="00524A62">
              <w:rPr>
                <w:rFonts w:cstheme="minorHAnsi"/>
                <w:lang w:val="en-US" w:eastAsia="en-IN"/>
              </w:rPr>
              <w:t>The reference price unit</w:t>
            </w:r>
          </w:p>
        </w:tc>
        <w:tc>
          <w:tcPr>
            <w:tcW w:w="3021" w:type="dxa"/>
          </w:tcPr>
          <w:p w14:paraId="3A8AA3BB" w14:textId="5152B0C3" w:rsidR="009C0ADC" w:rsidRPr="00524A62" w:rsidRDefault="00265AF4" w:rsidP="00E510F8">
            <w:pPr>
              <w:rPr>
                <w:rFonts w:cstheme="minorHAnsi"/>
                <w:lang w:val="en-US"/>
              </w:rPr>
            </w:pPr>
            <w:r w:rsidRPr="00524A62">
              <w:rPr>
                <w:rFonts w:cstheme="minorHAnsi"/>
                <w:lang w:val="en-US" w:eastAsia="en-IN"/>
              </w:rPr>
              <w:t>kW, kWh</w:t>
            </w:r>
          </w:p>
        </w:tc>
      </w:tr>
      <w:tr w:rsidR="00265AF4" w:rsidRPr="00524A62" w14:paraId="6A4B6A7B" w14:textId="77777777" w:rsidTr="006D373A">
        <w:trPr>
          <w:trHeight w:val="148"/>
        </w:trPr>
        <w:tc>
          <w:tcPr>
            <w:tcW w:w="3020" w:type="dxa"/>
          </w:tcPr>
          <w:p w14:paraId="62C80A0F" w14:textId="1BCFD248" w:rsidR="00265AF4" w:rsidRPr="00524A62" w:rsidRDefault="00265AF4" w:rsidP="00265AF4">
            <w:pPr>
              <w:rPr>
                <w:rFonts w:cstheme="minorHAnsi"/>
                <w:lang w:val="en-US"/>
              </w:rPr>
            </w:pPr>
            <w:r w:rsidRPr="00524A62">
              <w:rPr>
                <w:rFonts w:cstheme="minorHAnsi"/>
                <w:lang w:val="en-US" w:eastAsia="en-IN"/>
              </w:rPr>
              <w:t>refprice_currency</w:t>
            </w:r>
          </w:p>
        </w:tc>
        <w:tc>
          <w:tcPr>
            <w:tcW w:w="3021" w:type="dxa"/>
          </w:tcPr>
          <w:p w14:paraId="2F36C747" w14:textId="782D0091" w:rsidR="00265AF4" w:rsidRPr="00524A62" w:rsidRDefault="00265AF4" w:rsidP="00265AF4">
            <w:pPr>
              <w:rPr>
                <w:rFonts w:cstheme="minorHAnsi"/>
                <w:lang w:val="en-US"/>
              </w:rPr>
            </w:pPr>
            <w:r w:rsidRPr="00524A62">
              <w:rPr>
                <w:rFonts w:cstheme="minorHAnsi"/>
                <w:lang w:val="en-US" w:eastAsia="en-IN"/>
              </w:rPr>
              <w:t>The reference price currency</w:t>
            </w:r>
          </w:p>
        </w:tc>
        <w:tc>
          <w:tcPr>
            <w:tcW w:w="3021" w:type="dxa"/>
          </w:tcPr>
          <w:p w14:paraId="6387C2DC" w14:textId="6590540F" w:rsidR="00265AF4" w:rsidRPr="00524A62" w:rsidRDefault="00265AF4" w:rsidP="00265AF4">
            <w:pPr>
              <w:rPr>
                <w:rFonts w:cstheme="minorHAnsi"/>
                <w:lang w:val="en-US"/>
              </w:rPr>
            </w:pPr>
            <w:r w:rsidRPr="00524A62">
              <w:rPr>
                <w:rFonts w:cstheme="minorHAnsi"/>
                <w:lang w:val="en-US" w:eastAsia="en-IN"/>
              </w:rPr>
              <w:t>EUR</w:t>
            </w:r>
          </w:p>
        </w:tc>
      </w:tr>
      <w:tr w:rsidR="00265AF4" w:rsidRPr="00524A62" w14:paraId="310CB683" w14:textId="77777777" w:rsidTr="006D373A">
        <w:trPr>
          <w:trHeight w:val="148"/>
        </w:trPr>
        <w:tc>
          <w:tcPr>
            <w:tcW w:w="3020" w:type="dxa"/>
          </w:tcPr>
          <w:p w14:paraId="170623CA" w14:textId="2F028884" w:rsidR="00265AF4" w:rsidRPr="00524A62" w:rsidRDefault="00265AF4" w:rsidP="00265AF4">
            <w:pPr>
              <w:rPr>
                <w:rFonts w:cstheme="minorHAnsi"/>
                <w:lang w:val="en-US"/>
              </w:rPr>
            </w:pPr>
            <w:r w:rsidRPr="00524A62">
              <w:rPr>
                <w:rFonts w:cstheme="minorHAnsi"/>
                <w:lang w:val="en-US" w:eastAsia="en-IN"/>
              </w:rPr>
              <w:t>refprice_notes</w:t>
            </w:r>
          </w:p>
        </w:tc>
        <w:tc>
          <w:tcPr>
            <w:tcW w:w="3021" w:type="dxa"/>
          </w:tcPr>
          <w:p w14:paraId="6197ABD0" w14:textId="0F3C09A6" w:rsidR="00265AF4" w:rsidRPr="00524A62" w:rsidRDefault="00265AF4" w:rsidP="00265AF4">
            <w:pPr>
              <w:rPr>
                <w:rFonts w:cstheme="minorHAnsi"/>
                <w:lang w:val="en-US"/>
              </w:rPr>
            </w:pPr>
            <w:r w:rsidRPr="00524A62">
              <w:rPr>
                <w:rFonts w:cstheme="minorHAnsi"/>
                <w:lang w:val="en-US" w:eastAsia="en-IN"/>
              </w:rPr>
              <w:t>notes on the reference price</w:t>
            </w:r>
          </w:p>
        </w:tc>
        <w:tc>
          <w:tcPr>
            <w:tcW w:w="3021" w:type="dxa"/>
          </w:tcPr>
          <w:p w14:paraId="12A72395" w14:textId="188869E1" w:rsidR="00265AF4" w:rsidRPr="00524A62" w:rsidRDefault="00265AF4" w:rsidP="00265AF4">
            <w:pPr>
              <w:rPr>
                <w:rFonts w:cstheme="minorHAnsi"/>
                <w:lang w:val="en-US"/>
              </w:rPr>
            </w:pPr>
            <w:r w:rsidRPr="00524A62">
              <w:rPr>
                <w:rFonts w:cstheme="minorHAnsi"/>
                <w:lang w:val="en-US"/>
              </w:rPr>
              <w:t>see dataset</w:t>
            </w:r>
          </w:p>
        </w:tc>
      </w:tr>
      <w:tr w:rsidR="00265AF4" w:rsidRPr="00524A62" w14:paraId="177A187D" w14:textId="77777777" w:rsidTr="006D373A">
        <w:trPr>
          <w:trHeight w:val="148"/>
        </w:trPr>
        <w:tc>
          <w:tcPr>
            <w:tcW w:w="3020" w:type="dxa"/>
          </w:tcPr>
          <w:p w14:paraId="26347FA6" w14:textId="0D4ACE2E" w:rsidR="00265AF4" w:rsidRPr="00524A62" w:rsidRDefault="00265AF4" w:rsidP="00265AF4">
            <w:pPr>
              <w:rPr>
                <w:rFonts w:cstheme="minorHAnsi"/>
                <w:lang w:val="en-US"/>
              </w:rPr>
            </w:pPr>
            <w:r w:rsidRPr="00524A62">
              <w:rPr>
                <w:rFonts w:cstheme="minorHAnsi"/>
                <w:lang w:val="en-US" w:eastAsia="en-IN"/>
              </w:rPr>
              <w:t>refprice_2</w:t>
            </w:r>
          </w:p>
        </w:tc>
        <w:tc>
          <w:tcPr>
            <w:tcW w:w="3021" w:type="dxa"/>
          </w:tcPr>
          <w:p w14:paraId="4711B7C1" w14:textId="09D484A2" w:rsidR="00265AF4" w:rsidRPr="00524A62" w:rsidRDefault="00265AF4" w:rsidP="00265AF4">
            <w:pPr>
              <w:rPr>
                <w:rFonts w:cstheme="minorHAnsi"/>
                <w:lang w:val="en-US"/>
              </w:rPr>
            </w:pPr>
            <w:r w:rsidRPr="00524A62">
              <w:rPr>
                <w:rFonts w:cstheme="minorHAnsi"/>
                <w:lang w:val="en-US" w:eastAsia="en-IN"/>
              </w:rPr>
              <w:t>The reference price level for condition_2</w:t>
            </w:r>
          </w:p>
        </w:tc>
        <w:tc>
          <w:tcPr>
            <w:tcW w:w="3021" w:type="dxa"/>
          </w:tcPr>
          <w:p w14:paraId="0DC346A6" w14:textId="38F0E261" w:rsidR="00265AF4" w:rsidRPr="00524A62" w:rsidRDefault="00265AF4" w:rsidP="00265AF4">
            <w:pPr>
              <w:rPr>
                <w:rFonts w:cstheme="minorHAnsi"/>
                <w:lang w:val="en-US"/>
              </w:rPr>
            </w:pPr>
            <w:r w:rsidRPr="00524A62">
              <w:rPr>
                <w:rFonts w:cstheme="minorHAnsi"/>
                <w:lang w:val="en-US" w:eastAsia="en-IN"/>
              </w:rPr>
              <w:t>numeric</w:t>
            </w:r>
          </w:p>
        </w:tc>
      </w:tr>
      <w:tr w:rsidR="00265AF4" w:rsidRPr="00524A62" w14:paraId="1D316A76" w14:textId="77777777" w:rsidTr="006D373A">
        <w:trPr>
          <w:trHeight w:val="148"/>
        </w:trPr>
        <w:tc>
          <w:tcPr>
            <w:tcW w:w="3020" w:type="dxa"/>
          </w:tcPr>
          <w:p w14:paraId="7757B2DD" w14:textId="0BCE0457" w:rsidR="00265AF4" w:rsidRPr="00524A62" w:rsidRDefault="00265AF4" w:rsidP="00265AF4">
            <w:pPr>
              <w:rPr>
                <w:rFonts w:cstheme="minorHAnsi"/>
                <w:lang w:val="en-US" w:eastAsia="en-IN"/>
              </w:rPr>
            </w:pPr>
            <w:r w:rsidRPr="00524A62">
              <w:rPr>
                <w:rFonts w:cstheme="minorHAnsi"/>
                <w:lang w:val="en-US" w:eastAsia="en-IN"/>
              </w:rPr>
              <w:t>refprice_2_unit</w:t>
            </w:r>
          </w:p>
        </w:tc>
        <w:tc>
          <w:tcPr>
            <w:tcW w:w="3021" w:type="dxa"/>
          </w:tcPr>
          <w:p w14:paraId="7A75C14B" w14:textId="79893E6A" w:rsidR="00265AF4" w:rsidRPr="00524A62" w:rsidRDefault="00265AF4" w:rsidP="00265AF4">
            <w:pPr>
              <w:rPr>
                <w:rFonts w:cstheme="minorHAnsi"/>
                <w:lang w:val="en-US" w:eastAsia="en-IN"/>
              </w:rPr>
            </w:pPr>
            <w:r w:rsidRPr="00524A62">
              <w:rPr>
                <w:rFonts w:cstheme="minorHAnsi"/>
                <w:lang w:val="en-US" w:eastAsia="en-IN"/>
              </w:rPr>
              <w:t>The reference price currency for condition_2</w:t>
            </w:r>
          </w:p>
        </w:tc>
        <w:tc>
          <w:tcPr>
            <w:tcW w:w="3021" w:type="dxa"/>
          </w:tcPr>
          <w:p w14:paraId="12854193" w14:textId="212C6D48" w:rsidR="00265AF4" w:rsidRPr="00524A62" w:rsidRDefault="00265AF4" w:rsidP="00265AF4">
            <w:pPr>
              <w:rPr>
                <w:rFonts w:cstheme="minorHAnsi"/>
                <w:lang w:val="en-US" w:eastAsia="en-IN"/>
              </w:rPr>
            </w:pPr>
            <w:r w:rsidRPr="00524A62">
              <w:rPr>
                <w:rFonts w:cstheme="minorHAnsi"/>
                <w:lang w:val="en-US" w:eastAsia="en-IN"/>
              </w:rPr>
              <w:t>EUR</w:t>
            </w:r>
          </w:p>
        </w:tc>
      </w:tr>
      <w:tr w:rsidR="00265AF4" w:rsidRPr="00524A62" w14:paraId="2AA122A5" w14:textId="77777777" w:rsidTr="006D373A">
        <w:trPr>
          <w:trHeight w:val="148"/>
        </w:trPr>
        <w:tc>
          <w:tcPr>
            <w:tcW w:w="3020" w:type="dxa"/>
          </w:tcPr>
          <w:p w14:paraId="29CA56CB" w14:textId="02BAF08F" w:rsidR="00265AF4" w:rsidRPr="00524A62" w:rsidRDefault="00265AF4" w:rsidP="00265AF4">
            <w:pPr>
              <w:rPr>
                <w:rFonts w:cstheme="minorHAnsi"/>
                <w:lang w:val="en-US" w:eastAsia="en-IN"/>
              </w:rPr>
            </w:pPr>
            <w:r w:rsidRPr="00524A62">
              <w:rPr>
                <w:rFonts w:cstheme="minorHAnsi"/>
                <w:lang w:val="en-US" w:eastAsia="en-IN"/>
              </w:rPr>
              <w:t>refprice_2_currency</w:t>
            </w:r>
          </w:p>
        </w:tc>
        <w:tc>
          <w:tcPr>
            <w:tcW w:w="3021" w:type="dxa"/>
          </w:tcPr>
          <w:p w14:paraId="52707ECA" w14:textId="58AB3E8B" w:rsidR="00265AF4" w:rsidRPr="00524A62" w:rsidRDefault="00265AF4" w:rsidP="00265AF4">
            <w:pPr>
              <w:rPr>
                <w:rFonts w:cstheme="minorHAnsi"/>
                <w:lang w:val="en-US" w:eastAsia="en-IN"/>
              </w:rPr>
            </w:pPr>
            <w:r w:rsidRPr="00524A62">
              <w:rPr>
                <w:rFonts w:cstheme="minorHAnsi"/>
                <w:lang w:val="en-US" w:eastAsia="en-IN"/>
              </w:rPr>
              <w:t>The reference price unit for condition_2</w:t>
            </w:r>
          </w:p>
        </w:tc>
        <w:tc>
          <w:tcPr>
            <w:tcW w:w="3021" w:type="dxa"/>
          </w:tcPr>
          <w:p w14:paraId="40BCEB71" w14:textId="3C8B34DD" w:rsidR="00265AF4" w:rsidRPr="00524A62" w:rsidRDefault="00265AF4" w:rsidP="00265AF4">
            <w:pPr>
              <w:rPr>
                <w:rFonts w:cstheme="minorHAnsi"/>
                <w:lang w:val="en-US" w:eastAsia="en-IN"/>
              </w:rPr>
            </w:pPr>
            <w:r w:rsidRPr="00524A62">
              <w:rPr>
                <w:rFonts w:cstheme="minorHAnsi"/>
                <w:lang w:val="en-US" w:eastAsia="en-IN"/>
              </w:rPr>
              <w:t>kW, kWh</w:t>
            </w:r>
          </w:p>
        </w:tc>
      </w:tr>
      <w:tr w:rsidR="00D35367" w:rsidRPr="00524A62" w14:paraId="06CDC971" w14:textId="77777777" w:rsidTr="006D373A">
        <w:trPr>
          <w:trHeight w:val="148"/>
        </w:trPr>
        <w:tc>
          <w:tcPr>
            <w:tcW w:w="3020" w:type="dxa"/>
          </w:tcPr>
          <w:p w14:paraId="6313B7B3" w14:textId="7D67464C" w:rsidR="00D35367" w:rsidRPr="00524A62" w:rsidRDefault="00D35367" w:rsidP="00D35367">
            <w:pPr>
              <w:rPr>
                <w:rFonts w:cstheme="minorHAnsi"/>
                <w:lang w:val="en-US" w:eastAsia="en-IN"/>
              </w:rPr>
            </w:pPr>
            <w:r w:rsidRPr="00524A62">
              <w:rPr>
                <w:rFonts w:cstheme="minorHAnsi"/>
                <w:lang w:val="en-US" w:eastAsia="en-IN"/>
              </w:rPr>
              <w:t>level_1</w:t>
            </w:r>
          </w:p>
        </w:tc>
        <w:tc>
          <w:tcPr>
            <w:tcW w:w="3021" w:type="dxa"/>
          </w:tcPr>
          <w:p w14:paraId="067B3775" w14:textId="3080E2D3" w:rsidR="00D35367" w:rsidRPr="00524A62" w:rsidRDefault="00D35367" w:rsidP="00D35367">
            <w:pPr>
              <w:rPr>
                <w:rFonts w:cstheme="minorHAnsi"/>
                <w:lang w:val="en-US" w:eastAsia="en-IN"/>
              </w:rPr>
            </w:pPr>
            <w:r w:rsidRPr="00524A62">
              <w:rPr>
                <w:rFonts w:cstheme="minorHAnsi"/>
                <w:lang w:val="en-US" w:eastAsia="en-IN"/>
              </w:rPr>
              <w:t>The amount of support granted</w:t>
            </w:r>
          </w:p>
        </w:tc>
        <w:tc>
          <w:tcPr>
            <w:tcW w:w="3021" w:type="dxa"/>
          </w:tcPr>
          <w:p w14:paraId="400B266C" w14:textId="5B8A8B72" w:rsidR="00D35367" w:rsidRPr="00524A62" w:rsidRDefault="00D35367" w:rsidP="00D35367">
            <w:pPr>
              <w:rPr>
                <w:rFonts w:cstheme="minorHAnsi"/>
                <w:lang w:val="en-US" w:eastAsia="en-IN"/>
              </w:rPr>
            </w:pPr>
            <w:r w:rsidRPr="00524A62">
              <w:rPr>
                <w:rFonts w:cstheme="minorHAnsi"/>
                <w:lang w:val="en-US"/>
              </w:rPr>
              <w:t>Numeric</w:t>
            </w:r>
          </w:p>
        </w:tc>
      </w:tr>
      <w:tr w:rsidR="00B85C94" w:rsidRPr="00524A62" w14:paraId="5EAFDEBD" w14:textId="77777777" w:rsidTr="006D373A">
        <w:trPr>
          <w:trHeight w:val="148"/>
        </w:trPr>
        <w:tc>
          <w:tcPr>
            <w:tcW w:w="3020" w:type="dxa"/>
          </w:tcPr>
          <w:p w14:paraId="1B7207CB" w14:textId="4E2BBD87" w:rsidR="00B85C94" w:rsidRPr="00524A62" w:rsidRDefault="00B85C94" w:rsidP="00B85C94">
            <w:pPr>
              <w:rPr>
                <w:rFonts w:cstheme="minorHAnsi"/>
                <w:lang w:val="en-US" w:eastAsia="en-IN"/>
              </w:rPr>
            </w:pPr>
            <w:r w:rsidRPr="00524A62">
              <w:rPr>
                <w:rFonts w:cstheme="minorHAnsi"/>
                <w:lang w:val="en-US" w:eastAsia="en-IN"/>
              </w:rPr>
              <w:t>level_1_unit</w:t>
            </w:r>
          </w:p>
        </w:tc>
        <w:tc>
          <w:tcPr>
            <w:tcW w:w="3021" w:type="dxa"/>
          </w:tcPr>
          <w:p w14:paraId="00A1AA27" w14:textId="5B115302" w:rsidR="00B85C94" w:rsidRPr="00524A62" w:rsidRDefault="00B85C94" w:rsidP="00B85C94">
            <w:pPr>
              <w:rPr>
                <w:rFonts w:cstheme="minorHAnsi"/>
                <w:lang w:val="en-US" w:eastAsia="en-IN"/>
              </w:rPr>
            </w:pPr>
            <w:r w:rsidRPr="00524A62">
              <w:rPr>
                <w:rFonts w:cstheme="minorHAnsi"/>
                <w:lang w:val="en-US" w:eastAsia="en-IN"/>
              </w:rPr>
              <w:t>The unit that is granted the level of support</w:t>
            </w:r>
          </w:p>
        </w:tc>
        <w:tc>
          <w:tcPr>
            <w:tcW w:w="3021" w:type="dxa"/>
          </w:tcPr>
          <w:p w14:paraId="55093E82" w14:textId="3A2F44F7" w:rsidR="00B85C94" w:rsidRPr="00524A62" w:rsidRDefault="00B85C94" w:rsidP="00B85C94">
            <w:pPr>
              <w:rPr>
                <w:rFonts w:cstheme="minorHAnsi"/>
                <w:lang w:val="en-US" w:eastAsia="en-IN"/>
              </w:rPr>
            </w:pPr>
            <w:r w:rsidRPr="00524A62">
              <w:rPr>
                <w:rFonts w:cstheme="minorHAnsi"/>
                <w:lang w:val="en-US" w:eastAsia="en-IN"/>
              </w:rPr>
              <w:t>kW, kWh</w:t>
            </w:r>
          </w:p>
        </w:tc>
      </w:tr>
      <w:tr w:rsidR="00B85C94" w:rsidRPr="00524A62" w14:paraId="53B540A5" w14:textId="77777777" w:rsidTr="006D373A">
        <w:trPr>
          <w:trHeight w:val="148"/>
        </w:trPr>
        <w:tc>
          <w:tcPr>
            <w:tcW w:w="3020" w:type="dxa"/>
          </w:tcPr>
          <w:p w14:paraId="38CC03B5" w14:textId="6EDBBAAD" w:rsidR="00B85C94" w:rsidRPr="00524A62" w:rsidRDefault="00B85C94" w:rsidP="00B85C94">
            <w:pPr>
              <w:rPr>
                <w:rFonts w:cstheme="minorHAnsi"/>
                <w:lang w:val="en-US" w:eastAsia="en-IN"/>
              </w:rPr>
            </w:pPr>
            <w:r w:rsidRPr="00524A62">
              <w:rPr>
                <w:rFonts w:cstheme="minorHAnsi"/>
                <w:lang w:val="en-US" w:eastAsia="en-IN"/>
              </w:rPr>
              <w:t>level_1_currency</w:t>
            </w:r>
          </w:p>
        </w:tc>
        <w:tc>
          <w:tcPr>
            <w:tcW w:w="3021" w:type="dxa"/>
          </w:tcPr>
          <w:p w14:paraId="05B6FD1E" w14:textId="22B26897" w:rsidR="00B85C94" w:rsidRPr="00524A62" w:rsidRDefault="00B85C94" w:rsidP="00B85C94">
            <w:pPr>
              <w:rPr>
                <w:rFonts w:cstheme="minorHAnsi"/>
                <w:lang w:val="en-US" w:eastAsia="en-IN"/>
              </w:rPr>
            </w:pPr>
            <w:r w:rsidRPr="00524A62">
              <w:rPr>
                <w:rFonts w:cstheme="minorHAnsi"/>
                <w:lang w:val="en-US" w:eastAsia="en-IN"/>
              </w:rPr>
              <w:t>The currency of the support level</w:t>
            </w:r>
          </w:p>
        </w:tc>
        <w:tc>
          <w:tcPr>
            <w:tcW w:w="3021" w:type="dxa"/>
          </w:tcPr>
          <w:p w14:paraId="58190A84" w14:textId="31633881" w:rsidR="00B85C94" w:rsidRPr="00524A62" w:rsidRDefault="00B85C94" w:rsidP="00B85C94">
            <w:pPr>
              <w:rPr>
                <w:rFonts w:cstheme="minorHAnsi"/>
                <w:lang w:val="en-US" w:eastAsia="en-IN"/>
              </w:rPr>
            </w:pPr>
            <w:r w:rsidRPr="00524A62">
              <w:rPr>
                <w:rFonts w:cstheme="minorHAnsi"/>
                <w:lang w:val="en-US"/>
              </w:rPr>
              <w:t>EUR</w:t>
            </w:r>
          </w:p>
        </w:tc>
      </w:tr>
    </w:tbl>
    <w:p w14:paraId="36B2A35A" w14:textId="03241BC4" w:rsidR="00E510F8" w:rsidRPr="00524A62" w:rsidRDefault="00E510F8" w:rsidP="0049018D">
      <w:pPr>
        <w:rPr>
          <w:rFonts w:cstheme="minorHAnsi"/>
          <w:lang w:val="en-US"/>
        </w:rPr>
      </w:pPr>
    </w:p>
    <w:p w14:paraId="4F1DC649" w14:textId="14868FA7" w:rsidR="00E510F8" w:rsidRPr="00524A62" w:rsidRDefault="00AB480E" w:rsidP="0049018D">
      <w:pPr>
        <w:rPr>
          <w:rFonts w:cstheme="minorHAnsi"/>
          <w:lang w:val="en-US"/>
        </w:rPr>
      </w:pPr>
      <w:r w:rsidRPr="00524A62">
        <w:rPr>
          <w:rFonts w:cstheme="minorHAnsi"/>
          <w:b/>
          <w:bCs/>
          <w:lang w:val="en-US"/>
        </w:rPr>
        <w:t xml:space="preserve">NOTE: </w:t>
      </w:r>
      <w:r w:rsidRPr="00524A62">
        <w:rPr>
          <w:rFonts w:cstheme="minorHAnsi"/>
          <w:lang w:val="en-US"/>
        </w:rPr>
        <w:t xml:space="preserve">In the case of the UK FIP, the </w:t>
      </w:r>
      <w:r w:rsidR="00F37891" w:rsidRPr="00524A62">
        <w:rPr>
          <w:rFonts w:cstheme="minorHAnsi"/>
          <w:lang w:val="en-US"/>
        </w:rPr>
        <w:t xml:space="preserve">electricity provider </w:t>
      </w:r>
      <w:r w:rsidR="006F1668" w:rsidRPr="00524A62">
        <w:rPr>
          <w:rFonts w:cstheme="minorHAnsi"/>
          <w:lang w:val="en-US"/>
        </w:rPr>
        <w:t>must provide a premium but they may determine the type of premium (</w:t>
      </w:r>
      <w:r w:rsidR="005A02AB" w:rsidRPr="00524A62">
        <w:rPr>
          <w:rFonts w:cstheme="minorHAnsi"/>
          <w:lang w:val="en-US"/>
        </w:rPr>
        <w:t>i.e.,</w:t>
      </w:r>
      <w:r w:rsidR="006F1668" w:rsidRPr="00524A62">
        <w:rPr>
          <w:rFonts w:cstheme="minorHAnsi"/>
          <w:lang w:val="en-US"/>
        </w:rPr>
        <w:t xml:space="preserve"> it could be fixed or floating). We code this as premium_type “other”.</w:t>
      </w:r>
      <w:r w:rsidR="00E079BA" w:rsidRPr="00524A62">
        <w:rPr>
          <w:rFonts w:cstheme="minorHAnsi"/>
          <w:lang w:val="en-US"/>
        </w:rPr>
        <w:t xml:space="preserve"> </w:t>
      </w:r>
    </w:p>
    <w:p w14:paraId="1514958D" w14:textId="6B4A206E" w:rsidR="0049018D" w:rsidRPr="00524A62" w:rsidRDefault="0049018D" w:rsidP="009A3B86">
      <w:pPr>
        <w:pStyle w:val="Heading3"/>
        <w:numPr>
          <w:ilvl w:val="0"/>
          <w:numId w:val="22"/>
        </w:numPr>
        <w:spacing w:before="40" w:after="60"/>
        <w:ind w:left="714" w:hanging="357"/>
        <w:rPr>
          <w:rFonts w:asciiTheme="majorHAnsi" w:hAnsiTheme="majorHAnsi" w:cstheme="majorHAnsi"/>
          <w:color w:val="387782" w:themeColor="accent1" w:themeShade="BF"/>
          <w:sz w:val="24"/>
          <w:szCs w:val="24"/>
          <w:lang w:val="en-US"/>
        </w:rPr>
      </w:pPr>
      <w:bookmarkStart w:id="32" w:name="_Toc219972880"/>
      <w:r w:rsidRPr="00524A62">
        <w:rPr>
          <w:rFonts w:asciiTheme="majorHAnsi" w:hAnsiTheme="majorHAnsi" w:cstheme="majorHAnsi"/>
          <w:color w:val="387782" w:themeColor="accent1" w:themeShade="BF"/>
          <w:sz w:val="24"/>
          <w:szCs w:val="24"/>
          <w:lang w:val="en-US"/>
        </w:rPr>
        <w:t>Auctions</w:t>
      </w:r>
      <w:bookmarkEnd w:id="32"/>
      <w:r w:rsidRPr="00524A62">
        <w:rPr>
          <w:rFonts w:asciiTheme="majorHAnsi" w:hAnsiTheme="majorHAnsi" w:cstheme="majorHAnsi"/>
          <w:color w:val="387782" w:themeColor="accent1" w:themeShade="BF"/>
          <w:sz w:val="24"/>
          <w:szCs w:val="24"/>
          <w:lang w:val="en-US"/>
        </w:rPr>
        <w:t xml:space="preserve"> </w:t>
      </w:r>
    </w:p>
    <w:p w14:paraId="56DAE4C7" w14:textId="088B99AD" w:rsidR="00D8516E" w:rsidRPr="00524A62" w:rsidRDefault="0049018D" w:rsidP="0049018D">
      <w:pPr>
        <w:rPr>
          <w:rFonts w:cstheme="minorHAnsi"/>
          <w:lang w:val="en-US"/>
        </w:rPr>
      </w:pPr>
      <w:r w:rsidRPr="00524A62">
        <w:rPr>
          <w:rFonts w:cstheme="minorHAnsi"/>
          <w:lang w:val="en-US"/>
        </w:rPr>
        <w:t>In auctions</w:t>
      </w:r>
      <w:r w:rsidR="00033A28" w:rsidRPr="00524A62">
        <w:rPr>
          <w:rFonts w:cstheme="minorHAnsi"/>
          <w:lang w:val="en-US"/>
        </w:rPr>
        <w:t xml:space="preserve">, </w:t>
      </w:r>
      <w:r w:rsidRPr="00524A62">
        <w:rPr>
          <w:rFonts w:cstheme="minorHAnsi"/>
          <w:lang w:val="en-US"/>
        </w:rPr>
        <w:t>governments put out tenders for specific amounts of capacity (or energy) which will be built</w:t>
      </w:r>
      <w:r w:rsidR="00033A28" w:rsidRPr="00524A62">
        <w:rPr>
          <w:rFonts w:cstheme="minorHAnsi"/>
          <w:lang w:val="en-US"/>
        </w:rPr>
        <w:t xml:space="preserve">. </w:t>
      </w:r>
      <w:r w:rsidRPr="00524A62">
        <w:rPr>
          <w:rFonts w:cstheme="minorHAnsi"/>
          <w:lang w:val="en-US"/>
        </w:rPr>
        <w:t xml:space="preserve">Investors may bid on the amount they will build and the support amount that they will require. The selected bids are </w:t>
      </w:r>
      <w:r w:rsidR="00033A28" w:rsidRPr="00524A62">
        <w:rPr>
          <w:rFonts w:cstheme="minorHAnsi"/>
          <w:lang w:val="en-US"/>
        </w:rPr>
        <w:t xml:space="preserve">usually </w:t>
      </w:r>
      <w:r w:rsidRPr="00524A62">
        <w:rPr>
          <w:rFonts w:cstheme="minorHAnsi"/>
          <w:lang w:val="en-US"/>
        </w:rPr>
        <w:t xml:space="preserve">awarded support, </w:t>
      </w:r>
      <w:r w:rsidR="00033A28" w:rsidRPr="00524A62">
        <w:rPr>
          <w:rFonts w:cstheme="minorHAnsi"/>
          <w:lang w:val="en-US"/>
        </w:rPr>
        <w:t>for example with a</w:t>
      </w:r>
      <w:r w:rsidRPr="00524A62">
        <w:rPr>
          <w:rFonts w:cstheme="minorHAnsi"/>
          <w:lang w:val="en-US"/>
        </w:rPr>
        <w:t xml:space="preserve"> fixed tariff or a premium for a number of years. The instrument is thus often similar to FITs and </w:t>
      </w:r>
      <w:r w:rsidR="00A07CD5" w:rsidRPr="00524A62">
        <w:rPr>
          <w:rFonts w:cstheme="minorHAnsi"/>
          <w:lang w:val="en-US"/>
        </w:rPr>
        <w:t>Premiums but</w:t>
      </w:r>
      <w:r w:rsidRPr="00524A62">
        <w:rPr>
          <w:rFonts w:cstheme="minorHAnsi"/>
          <w:lang w:val="en-US"/>
        </w:rPr>
        <w:t xml:space="preserve"> differ in the qualification phase: only the winning bids are supported, whereas in FITs/Premiums all projects are (in principle) eligible for support. </w:t>
      </w:r>
    </w:p>
    <w:p w14:paraId="39ABA70B" w14:textId="049427BB" w:rsidR="00033A28" w:rsidRPr="00524A62" w:rsidRDefault="00033A28" w:rsidP="0049018D">
      <w:pPr>
        <w:rPr>
          <w:rFonts w:cstheme="minorHAnsi"/>
          <w:lang w:val="en-US"/>
        </w:rPr>
      </w:pPr>
      <w:r w:rsidRPr="00524A62">
        <w:rPr>
          <w:rFonts w:cstheme="minorHAnsi"/>
          <w:lang w:val="en-US"/>
        </w:rPr>
        <w:t>There are different types of tenders, which result in different kinds of support</w:t>
      </w:r>
      <w:r w:rsidR="006F2CA9" w:rsidRPr="00524A62">
        <w:rPr>
          <w:rFonts w:cstheme="minorHAnsi"/>
          <w:lang w:val="en-US"/>
        </w:rPr>
        <w:t xml:space="preserve"> recorded in the column “tender_type”. These </w:t>
      </w:r>
      <w:r w:rsidR="00F55A84" w:rsidRPr="00524A62">
        <w:rPr>
          <w:rFonts w:cstheme="minorHAnsi"/>
          <w:lang w:val="en-US"/>
        </w:rPr>
        <w:t>are similar to the premiums above, but also include additional types. These are recorded as follows.</w:t>
      </w:r>
    </w:p>
    <w:p w14:paraId="5363E2A6" w14:textId="071ED0E2" w:rsidR="009A3B86" w:rsidRPr="003F6055" w:rsidRDefault="003F6055" w:rsidP="003F6055">
      <w:pPr>
        <w:pStyle w:val="Caption"/>
        <w:rPr>
          <w:rFonts w:cstheme="minorHAnsi"/>
          <w:lang w:val="en-US" w:eastAsia="en-IN"/>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19</w:t>
      </w:r>
      <w:r w:rsidRPr="00551268">
        <w:rPr>
          <w:noProof/>
          <w:lang w:val="en-US"/>
        </w:rPr>
        <w:fldChar w:fldCharType="end"/>
      </w:r>
      <w:r w:rsidRPr="00551268">
        <w:rPr>
          <w:lang w:val="en-US"/>
        </w:rPr>
        <w:t xml:space="preserve">: </w:t>
      </w:r>
      <w:r>
        <w:rPr>
          <w:lang w:val="en-US"/>
        </w:rPr>
        <w:t>Recording tender types</w:t>
      </w:r>
    </w:p>
    <w:tbl>
      <w:tblPr>
        <w:tblStyle w:val="TableGrid"/>
        <w:tblW w:w="0" w:type="auto"/>
        <w:tblLayout w:type="fixed"/>
        <w:tblLook w:val="04A0" w:firstRow="1" w:lastRow="0" w:firstColumn="1" w:lastColumn="0" w:noHBand="0" w:noVBand="1"/>
      </w:tblPr>
      <w:tblGrid>
        <w:gridCol w:w="1075"/>
        <w:gridCol w:w="2181"/>
        <w:gridCol w:w="2693"/>
        <w:gridCol w:w="3113"/>
      </w:tblGrid>
      <w:tr w:rsidR="00C26BF0" w:rsidRPr="00524A62" w14:paraId="5F0A9514" w14:textId="77777777" w:rsidTr="00D54BCC">
        <w:trPr>
          <w:trHeight w:val="306"/>
        </w:trPr>
        <w:tc>
          <w:tcPr>
            <w:tcW w:w="1075" w:type="dxa"/>
          </w:tcPr>
          <w:p w14:paraId="0DA5746A" w14:textId="77777777" w:rsidR="00C26BF0" w:rsidRPr="00524A62" w:rsidRDefault="00C26BF0" w:rsidP="00FB6817">
            <w:pPr>
              <w:rPr>
                <w:b/>
                <w:bCs/>
                <w:lang w:val="en-US"/>
              </w:rPr>
            </w:pPr>
            <w:r w:rsidRPr="00524A62">
              <w:rPr>
                <w:b/>
                <w:bCs/>
                <w:lang w:val="en-US"/>
              </w:rPr>
              <w:t>Policy name</w:t>
            </w:r>
          </w:p>
        </w:tc>
        <w:tc>
          <w:tcPr>
            <w:tcW w:w="2181" w:type="dxa"/>
          </w:tcPr>
          <w:p w14:paraId="1F6FCE84" w14:textId="77777777" w:rsidR="00C26BF0" w:rsidRPr="00524A62" w:rsidRDefault="00C26BF0" w:rsidP="00FB6817">
            <w:pPr>
              <w:rPr>
                <w:b/>
                <w:bCs/>
                <w:lang w:val="en-US"/>
              </w:rPr>
            </w:pPr>
            <w:r w:rsidRPr="00524A62">
              <w:rPr>
                <w:b/>
                <w:bCs/>
                <w:lang w:val="en-US"/>
              </w:rPr>
              <w:t>Definition</w:t>
            </w:r>
          </w:p>
        </w:tc>
        <w:tc>
          <w:tcPr>
            <w:tcW w:w="2693" w:type="dxa"/>
          </w:tcPr>
          <w:p w14:paraId="1F5266C9" w14:textId="77777777" w:rsidR="00C26BF0" w:rsidRPr="00524A62" w:rsidRDefault="00C26BF0" w:rsidP="00FB6817">
            <w:pPr>
              <w:rPr>
                <w:b/>
                <w:bCs/>
                <w:lang w:val="en-US"/>
              </w:rPr>
            </w:pPr>
            <w:r w:rsidRPr="00524A62">
              <w:rPr>
                <w:b/>
                <w:bCs/>
                <w:lang w:val="en-US"/>
              </w:rPr>
              <w:t>Example</w:t>
            </w:r>
          </w:p>
        </w:tc>
        <w:tc>
          <w:tcPr>
            <w:tcW w:w="3113" w:type="dxa"/>
          </w:tcPr>
          <w:p w14:paraId="373DF5C7" w14:textId="77777777" w:rsidR="00C26BF0" w:rsidRPr="00524A62" w:rsidRDefault="00C26BF0" w:rsidP="00FB6817">
            <w:pPr>
              <w:rPr>
                <w:b/>
                <w:bCs/>
                <w:lang w:val="en-US"/>
              </w:rPr>
            </w:pPr>
            <w:r w:rsidRPr="00524A62">
              <w:rPr>
                <w:b/>
                <w:bCs/>
                <w:lang w:val="en-US"/>
              </w:rPr>
              <w:t>What to record:</w:t>
            </w:r>
          </w:p>
        </w:tc>
      </w:tr>
      <w:tr w:rsidR="00C26BF0" w:rsidRPr="00524A62" w14:paraId="38455084" w14:textId="77777777" w:rsidTr="00D54BCC">
        <w:trPr>
          <w:trHeight w:val="595"/>
        </w:trPr>
        <w:tc>
          <w:tcPr>
            <w:tcW w:w="1075" w:type="dxa"/>
          </w:tcPr>
          <w:p w14:paraId="34060C8A" w14:textId="77777777" w:rsidR="00C26BF0" w:rsidRPr="00524A62" w:rsidRDefault="00C26BF0" w:rsidP="00FB6817">
            <w:pPr>
              <w:rPr>
                <w:lang w:val="en-US"/>
              </w:rPr>
            </w:pPr>
            <w:r w:rsidRPr="00524A62">
              <w:rPr>
                <w:lang w:val="en-US"/>
              </w:rPr>
              <w:lastRenderedPageBreak/>
              <w:t>Auction with FIT</w:t>
            </w:r>
          </w:p>
        </w:tc>
        <w:tc>
          <w:tcPr>
            <w:tcW w:w="2181" w:type="dxa"/>
          </w:tcPr>
          <w:p w14:paraId="671BCFAA" w14:textId="77777777" w:rsidR="00C26BF0" w:rsidRPr="00524A62" w:rsidRDefault="00C26BF0" w:rsidP="00FB6817">
            <w:pPr>
              <w:rPr>
                <w:lang w:val="en-US"/>
              </w:rPr>
            </w:pPr>
            <w:r w:rsidRPr="00524A62">
              <w:rPr>
                <w:lang w:val="en-US"/>
              </w:rPr>
              <w:t xml:space="preserve">Producers receive a </w:t>
            </w:r>
            <w:r w:rsidRPr="00524A62">
              <w:rPr>
                <w:b/>
                <w:bCs/>
                <w:lang w:val="en-US"/>
              </w:rPr>
              <w:t xml:space="preserve">fixed monetary </w:t>
            </w:r>
            <w:r w:rsidRPr="00524A62">
              <w:rPr>
                <w:lang w:val="en-US"/>
              </w:rPr>
              <w:t>amount for the energy that they produce.</w:t>
            </w:r>
          </w:p>
        </w:tc>
        <w:tc>
          <w:tcPr>
            <w:tcW w:w="2693" w:type="dxa"/>
          </w:tcPr>
          <w:p w14:paraId="30FA9C2D" w14:textId="77777777" w:rsidR="00C26BF0" w:rsidRPr="00524A62" w:rsidRDefault="00C26BF0" w:rsidP="00FB6817">
            <w:pPr>
              <w:rPr>
                <w:lang w:val="en-US"/>
              </w:rPr>
            </w:pPr>
            <w:r w:rsidRPr="00524A62">
              <w:rPr>
                <w:lang w:val="en-US"/>
              </w:rPr>
              <w:t>Producers get 20 cents per kWh produced. (level = total revenue per kWh)</w:t>
            </w:r>
          </w:p>
        </w:tc>
        <w:tc>
          <w:tcPr>
            <w:tcW w:w="3113" w:type="dxa"/>
          </w:tcPr>
          <w:p w14:paraId="19464803" w14:textId="77777777" w:rsidR="00C26BF0" w:rsidRPr="00524A62" w:rsidRDefault="00C26BF0" w:rsidP="00FB6817">
            <w:pPr>
              <w:rPr>
                <w:lang w:val="en-US"/>
              </w:rPr>
            </w:pPr>
            <w:r w:rsidRPr="00524A62">
              <w:rPr>
                <w:lang w:val="en-US"/>
              </w:rPr>
              <w:t>level: 20 cents per kWh</w:t>
            </w:r>
          </w:p>
        </w:tc>
      </w:tr>
      <w:tr w:rsidR="00C26BF0" w:rsidRPr="00524A62" w14:paraId="6D28F8E2" w14:textId="77777777" w:rsidTr="00D54BCC">
        <w:trPr>
          <w:trHeight w:val="614"/>
        </w:trPr>
        <w:tc>
          <w:tcPr>
            <w:tcW w:w="1075" w:type="dxa"/>
          </w:tcPr>
          <w:p w14:paraId="562E9EFC" w14:textId="77777777" w:rsidR="00C26BF0" w:rsidRPr="00524A62" w:rsidRDefault="00C26BF0" w:rsidP="00FB6817">
            <w:pPr>
              <w:rPr>
                <w:lang w:val="en-US"/>
              </w:rPr>
            </w:pPr>
            <w:r w:rsidRPr="00524A62">
              <w:rPr>
                <w:lang w:val="en-US"/>
              </w:rPr>
              <w:t>Auction with fixed FIP</w:t>
            </w:r>
          </w:p>
        </w:tc>
        <w:tc>
          <w:tcPr>
            <w:tcW w:w="2181" w:type="dxa"/>
          </w:tcPr>
          <w:p w14:paraId="55960AE1" w14:textId="77777777" w:rsidR="00C26BF0" w:rsidRPr="00524A62" w:rsidRDefault="00C26BF0" w:rsidP="00FB6817">
            <w:pPr>
              <w:rPr>
                <w:lang w:val="en-US"/>
              </w:rPr>
            </w:pPr>
            <w:r w:rsidRPr="00524A62">
              <w:rPr>
                <w:lang w:val="en-US"/>
              </w:rPr>
              <w:t xml:space="preserve">Producers receive a </w:t>
            </w:r>
            <w:r w:rsidRPr="00524A62">
              <w:rPr>
                <w:b/>
                <w:bCs/>
                <w:lang w:val="en-US"/>
              </w:rPr>
              <w:t>fixed</w:t>
            </w:r>
            <w:r w:rsidRPr="00524A62">
              <w:rPr>
                <w:lang w:val="en-US"/>
              </w:rPr>
              <w:t xml:space="preserve"> </w:t>
            </w:r>
            <w:r w:rsidRPr="00524A62">
              <w:rPr>
                <w:b/>
                <w:bCs/>
                <w:lang w:val="en-US"/>
              </w:rPr>
              <w:t>premium on top of the market price</w:t>
            </w:r>
            <w:r w:rsidRPr="00524A62">
              <w:rPr>
                <w:lang w:val="en-US"/>
              </w:rPr>
              <w:t xml:space="preserve">. </w:t>
            </w:r>
          </w:p>
        </w:tc>
        <w:tc>
          <w:tcPr>
            <w:tcW w:w="2693" w:type="dxa"/>
          </w:tcPr>
          <w:p w14:paraId="782C31B3" w14:textId="78784C2C" w:rsidR="00C26BF0" w:rsidRPr="00524A62" w:rsidRDefault="00C26BF0" w:rsidP="00FB6817">
            <w:pPr>
              <w:rPr>
                <w:lang w:val="en-US"/>
              </w:rPr>
            </w:pPr>
            <w:r w:rsidRPr="00524A62">
              <w:rPr>
                <w:lang w:val="en-US"/>
              </w:rPr>
              <w:t>Producers get the market price, plus 4 cents. (level = bonus paid per kWh)</w:t>
            </w:r>
          </w:p>
        </w:tc>
        <w:tc>
          <w:tcPr>
            <w:tcW w:w="3113" w:type="dxa"/>
          </w:tcPr>
          <w:p w14:paraId="527BA9AB" w14:textId="535AAB8B" w:rsidR="00CA2D25" w:rsidRPr="00524A62" w:rsidRDefault="00C26BF0" w:rsidP="00FB6817">
            <w:pPr>
              <w:rPr>
                <w:lang w:val="en-US"/>
              </w:rPr>
            </w:pPr>
            <w:r w:rsidRPr="00524A62">
              <w:rPr>
                <w:lang w:val="en-US"/>
              </w:rPr>
              <w:t>level: 4 cents per kWh</w:t>
            </w:r>
          </w:p>
        </w:tc>
      </w:tr>
      <w:tr w:rsidR="00C26BF0" w:rsidRPr="008D4356" w14:paraId="10FD9A58" w14:textId="77777777" w:rsidTr="00D54BCC">
        <w:trPr>
          <w:trHeight w:val="1209"/>
        </w:trPr>
        <w:tc>
          <w:tcPr>
            <w:tcW w:w="1075" w:type="dxa"/>
          </w:tcPr>
          <w:p w14:paraId="57E0E84B" w14:textId="77777777" w:rsidR="00C26BF0" w:rsidRPr="00524A62" w:rsidRDefault="00C26BF0" w:rsidP="00FB6817">
            <w:pPr>
              <w:rPr>
                <w:lang w:val="en-US"/>
              </w:rPr>
            </w:pPr>
            <w:r w:rsidRPr="00524A62">
              <w:rPr>
                <w:lang w:val="en-US"/>
              </w:rPr>
              <w:t>Auction with one-sided floating FIP</w:t>
            </w:r>
          </w:p>
        </w:tc>
        <w:tc>
          <w:tcPr>
            <w:tcW w:w="2181" w:type="dxa"/>
          </w:tcPr>
          <w:p w14:paraId="6A3C5831" w14:textId="1F8EC15B" w:rsidR="00C26BF0" w:rsidRPr="00524A62" w:rsidRDefault="00C26BF0" w:rsidP="00FB6817">
            <w:pPr>
              <w:rPr>
                <w:lang w:val="en-US"/>
              </w:rPr>
            </w:pPr>
            <w:r w:rsidRPr="00524A62">
              <w:rPr>
                <w:lang w:val="en-US"/>
              </w:rPr>
              <w:t xml:space="preserve">Producers receive a </w:t>
            </w:r>
            <w:r w:rsidRPr="00524A62">
              <w:rPr>
                <w:b/>
                <w:bCs/>
                <w:lang w:val="en-US"/>
              </w:rPr>
              <w:t>variable</w:t>
            </w:r>
            <w:r w:rsidRPr="00524A62">
              <w:rPr>
                <w:lang w:val="en-US"/>
              </w:rPr>
              <w:t xml:space="preserve"> </w:t>
            </w:r>
            <w:r w:rsidRPr="00524A62">
              <w:rPr>
                <w:b/>
                <w:bCs/>
                <w:lang w:val="en-US"/>
              </w:rPr>
              <w:t>premium</w:t>
            </w:r>
            <w:r w:rsidRPr="00524A62">
              <w:rPr>
                <w:lang w:val="en-US"/>
              </w:rPr>
              <w:t xml:space="preserve">, depending on electricity prices. The maximum threshold for electricity prices when they do not get any more premium is set (usually called the reference price – </w:t>
            </w:r>
            <w:r w:rsidR="000378D8" w:rsidRPr="00524A62">
              <w:rPr>
                <w:lang w:val="en-US"/>
              </w:rPr>
              <w:t>NOTE</w:t>
            </w:r>
            <w:r w:rsidRPr="00524A62">
              <w:rPr>
                <w:lang w:val="en-US"/>
              </w:rPr>
              <w:t xml:space="preserve"> – this is different from reference prices in 2-sided FIPs)</w:t>
            </w:r>
          </w:p>
        </w:tc>
        <w:tc>
          <w:tcPr>
            <w:tcW w:w="2693" w:type="dxa"/>
          </w:tcPr>
          <w:p w14:paraId="28102C90" w14:textId="3C2EFE86" w:rsidR="00C26BF0" w:rsidRPr="00524A62" w:rsidRDefault="00C26BF0" w:rsidP="00FB6817">
            <w:pPr>
              <w:rPr>
                <w:lang w:val="en-US"/>
              </w:rPr>
            </w:pPr>
            <w:r w:rsidRPr="00524A62">
              <w:rPr>
                <w:lang w:val="en-US"/>
              </w:rPr>
              <w:t>Auction sets a reference price of 30 cents per MWh, and a premium of 2.58 cents per MWh. When the market goes below the reference price (for example,</w:t>
            </w:r>
            <w:r w:rsidR="00EB4052" w:rsidRPr="00524A62">
              <w:rPr>
                <w:lang w:val="en-US"/>
              </w:rPr>
              <w:t xml:space="preserve"> market price of</w:t>
            </w:r>
            <w:r w:rsidRPr="00524A62">
              <w:rPr>
                <w:lang w:val="en-US"/>
              </w:rPr>
              <w:t xml:space="preserve"> 10 cents per MWh), they receive the 2.58 cents per MWh on top (12.58 cents). When the market goes above the reference price + premium (32.58 cents) they do not receive the premium.</w:t>
            </w:r>
          </w:p>
          <w:p w14:paraId="0F8A6536" w14:textId="77777777" w:rsidR="00C26BF0" w:rsidRPr="00524A62" w:rsidRDefault="00C26BF0" w:rsidP="00FB6817">
            <w:pPr>
              <w:rPr>
                <w:lang w:val="en-US"/>
              </w:rPr>
            </w:pPr>
          </w:p>
          <w:p w14:paraId="4B597460" w14:textId="7FF1ACFE" w:rsidR="00C26BF0" w:rsidRPr="00524A62" w:rsidRDefault="00C26BF0" w:rsidP="00FB6817">
            <w:pPr>
              <w:rPr>
                <w:lang w:val="en-US"/>
              </w:rPr>
            </w:pPr>
            <w:r w:rsidRPr="00524A62">
              <w:rPr>
                <w:lang w:val="en-US"/>
              </w:rPr>
              <w:t>(level = bonus paid per kWh</w:t>
            </w:r>
            <w:r w:rsidR="00A06210" w:rsidRPr="00524A62">
              <w:rPr>
                <w:lang w:val="en-US"/>
              </w:rPr>
              <w:t>; refprice = reference price)</w:t>
            </w:r>
          </w:p>
        </w:tc>
        <w:tc>
          <w:tcPr>
            <w:tcW w:w="3113" w:type="dxa"/>
          </w:tcPr>
          <w:p w14:paraId="41D263B6" w14:textId="77777777" w:rsidR="00C26BF0" w:rsidRPr="00524A62" w:rsidRDefault="00C26BF0" w:rsidP="00FB6817">
            <w:pPr>
              <w:rPr>
                <w:lang w:val="en-US"/>
              </w:rPr>
            </w:pPr>
            <w:r w:rsidRPr="00524A62">
              <w:rPr>
                <w:lang w:val="en-US"/>
              </w:rPr>
              <w:t>level: 2.58 cents per MWh</w:t>
            </w:r>
          </w:p>
          <w:p w14:paraId="3F4818FB" w14:textId="77777777" w:rsidR="00C26BF0" w:rsidRPr="00524A62" w:rsidRDefault="00C26BF0" w:rsidP="00FB6817">
            <w:pPr>
              <w:rPr>
                <w:lang w:val="en-US"/>
              </w:rPr>
            </w:pPr>
          </w:p>
          <w:p w14:paraId="4BF3232F" w14:textId="6A7D80FC" w:rsidR="00C26BF0" w:rsidRPr="00524A62" w:rsidRDefault="00C26BF0" w:rsidP="00FB6817">
            <w:pPr>
              <w:rPr>
                <w:lang w:val="en-US"/>
              </w:rPr>
            </w:pPr>
            <w:r w:rsidRPr="00524A62">
              <w:rPr>
                <w:lang w:val="en-US"/>
              </w:rPr>
              <w:t xml:space="preserve">refprice: 30 cents per MWh </w:t>
            </w:r>
          </w:p>
          <w:p w14:paraId="49999F49" w14:textId="77777777" w:rsidR="00C26BF0" w:rsidRPr="00524A62" w:rsidRDefault="00C26BF0" w:rsidP="00FB6817">
            <w:pPr>
              <w:rPr>
                <w:lang w:val="en-US"/>
              </w:rPr>
            </w:pPr>
          </w:p>
          <w:p w14:paraId="5644304B" w14:textId="00BBB3FE" w:rsidR="00C26BF0" w:rsidRPr="00524A62" w:rsidRDefault="000378D8" w:rsidP="003F17A3">
            <w:pPr>
              <w:rPr>
                <w:lang w:val="en-US"/>
              </w:rPr>
            </w:pPr>
            <w:r w:rsidRPr="00524A62">
              <w:rPr>
                <w:b/>
                <w:bCs/>
                <w:lang w:val="en-US"/>
              </w:rPr>
              <w:t>NOTE</w:t>
            </w:r>
            <w:r w:rsidR="00C26BF0" w:rsidRPr="00524A62">
              <w:rPr>
                <w:b/>
                <w:bCs/>
                <w:lang w:val="en-US"/>
              </w:rPr>
              <w:t>:</w:t>
            </w:r>
            <w:r w:rsidR="00C26BF0" w:rsidRPr="00524A62">
              <w:rPr>
                <w:lang w:val="en-US"/>
              </w:rPr>
              <w:t xml:space="preserve"> in Italian FIPs (2012-2016), the reference price is set by auction; the premium amount is the difference between the reference price and the market price. S</w:t>
            </w:r>
            <w:r w:rsidR="005A02AB">
              <w:rPr>
                <w:lang w:val="en-US"/>
              </w:rPr>
              <w:t>o,</w:t>
            </w:r>
            <w:r w:rsidR="00C26BF0" w:rsidRPr="00524A62">
              <w:rPr>
                <w:lang w:val="en-US"/>
              </w:rPr>
              <w:t xml:space="preserve"> we only know the REFERENCE price;  the “level” should be recorded as NA. If there is only a reference price WITHOUT an additional subsidy, the level = 0.</w:t>
            </w:r>
          </w:p>
        </w:tc>
      </w:tr>
      <w:tr w:rsidR="00C26BF0" w:rsidRPr="00524A62" w14:paraId="39702B42" w14:textId="77777777" w:rsidTr="00D54BCC">
        <w:trPr>
          <w:trHeight w:val="922"/>
        </w:trPr>
        <w:tc>
          <w:tcPr>
            <w:tcW w:w="1075" w:type="dxa"/>
          </w:tcPr>
          <w:p w14:paraId="6C16E76D" w14:textId="77777777" w:rsidR="00C26BF0" w:rsidRPr="00524A62" w:rsidRDefault="00C26BF0" w:rsidP="00FB6817">
            <w:pPr>
              <w:rPr>
                <w:lang w:val="en-US"/>
              </w:rPr>
            </w:pPr>
            <w:r w:rsidRPr="00524A62">
              <w:rPr>
                <w:lang w:val="en-US"/>
              </w:rPr>
              <w:t>Auction with two-sided floating FIP (CfD)</w:t>
            </w:r>
          </w:p>
        </w:tc>
        <w:tc>
          <w:tcPr>
            <w:tcW w:w="2181" w:type="dxa"/>
          </w:tcPr>
          <w:p w14:paraId="45B9290C" w14:textId="77777777" w:rsidR="00C26BF0" w:rsidRPr="00524A62" w:rsidRDefault="00C26BF0" w:rsidP="00FB6817">
            <w:pPr>
              <w:rPr>
                <w:lang w:val="en-US"/>
              </w:rPr>
            </w:pPr>
            <w:r w:rsidRPr="00524A62">
              <w:rPr>
                <w:lang w:val="en-US"/>
              </w:rPr>
              <w:t xml:space="preserve">Producers receive a </w:t>
            </w:r>
            <w:r w:rsidRPr="00524A62">
              <w:rPr>
                <w:b/>
                <w:bCs/>
                <w:lang w:val="en-US"/>
              </w:rPr>
              <w:t>variable premium</w:t>
            </w:r>
            <w:r w:rsidRPr="00524A62">
              <w:rPr>
                <w:lang w:val="en-US"/>
              </w:rPr>
              <w:t>, usually called a reference price or strike price. Works like a 1-sided FIP EXCEPT if they make more than this reference price, they must pay it back.</w:t>
            </w:r>
          </w:p>
        </w:tc>
        <w:tc>
          <w:tcPr>
            <w:tcW w:w="2693" w:type="dxa"/>
          </w:tcPr>
          <w:p w14:paraId="6B68934A" w14:textId="261A73D4" w:rsidR="00C26BF0" w:rsidRPr="00524A62" w:rsidRDefault="00C26BF0" w:rsidP="00FB6817">
            <w:pPr>
              <w:rPr>
                <w:lang w:val="en-US"/>
              </w:rPr>
            </w:pPr>
            <w:r w:rsidRPr="00524A62">
              <w:rPr>
                <w:lang w:val="en-US"/>
              </w:rPr>
              <w:t>Italian auctions after 2019: Auctions are held to set reference prices, resulting in ref</w:t>
            </w:r>
            <w:r w:rsidR="00D4576F" w:rsidRPr="00524A62">
              <w:rPr>
                <w:lang w:val="en-US"/>
              </w:rPr>
              <w:t>erence</w:t>
            </w:r>
            <w:r w:rsidRPr="00524A62">
              <w:rPr>
                <w:lang w:val="en-US"/>
              </w:rPr>
              <w:t xml:space="preserve"> price of 6.4 cents per kWh. (level = total revenue per kWh).</w:t>
            </w:r>
          </w:p>
        </w:tc>
        <w:tc>
          <w:tcPr>
            <w:tcW w:w="3113" w:type="dxa"/>
          </w:tcPr>
          <w:p w14:paraId="25E7673C" w14:textId="2431B495" w:rsidR="00C26BF0" w:rsidRPr="00524A62" w:rsidRDefault="00565A42" w:rsidP="00FB6817">
            <w:pPr>
              <w:rPr>
                <w:lang w:val="en-US"/>
              </w:rPr>
            </w:pPr>
            <w:r w:rsidRPr="00524A62">
              <w:rPr>
                <w:lang w:val="en-US"/>
              </w:rPr>
              <w:t>L</w:t>
            </w:r>
            <w:r w:rsidR="00C26BF0" w:rsidRPr="00524A62">
              <w:rPr>
                <w:lang w:val="en-US"/>
              </w:rPr>
              <w:t>evel:  6.4 cents per kWh</w:t>
            </w:r>
          </w:p>
        </w:tc>
      </w:tr>
      <w:tr w:rsidR="00C26BF0" w:rsidRPr="00524A62" w14:paraId="7F52C9F8" w14:textId="77777777" w:rsidTr="00D54BCC">
        <w:trPr>
          <w:trHeight w:val="922"/>
        </w:trPr>
        <w:tc>
          <w:tcPr>
            <w:tcW w:w="1075" w:type="dxa"/>
          </w:tcPr>
          <w:p w14:paraId="1F38613D" w14:textId="77777777" w:rsidR="00C26BF0" w:rsidRPr="00524A62" w:rsidRDefault="00C26BF0" w:rsidP="00FB6817">
            <w:pPr>
              <w:rPr>
                <w:lang w:val="en-US"/>
              </w:rPr>
            </w:pPr>
            <w:r w:rsidRPr="00524A62">
              <w:rPr>
                <w:lang w:val="en-US"/>
              </w:rPr>
              <w:t>Auction with zero subsidy</w:t>
            </w:r>
          </w:p>
        </w:tc>
        <w:tc>
          <w:tcPr>
            <w:tcW w:w="2181" w:type="dxa"/>
          </w:tcPr>
          <w:p w14:paraId="50F727F7" w14:textId="77777777" w:rsidR="00C26BF0" w:rsidRPr="00524A62" w:rsidRDefault="00C26BF0" w:rsidP="00FB6817">
            <w:pPr>
              <w:rPr>
                <w:lang w:val="en-US"/>
              </w:rPr>
            </w:pPr>
            <w:r w:rsidRPr="00524A62">
              <w:rPr>
                <w:lang w:val="en-US"/>
              </w:rPr>
              <w:t xml:space="preserve">Producers do not receive any monetary support, they only bid for the right to develop the project. </w:t>
            </w:r>
          </w:p>
        </w:tc>
        <w:tc>
          <w:tcPr>
            <w:tcW w:w="2693" w:type="dxa"/>
          </w:tcPr>
          <w:p w14:paraId="34C52186" w14:textId="5DFC760D" w:rsidR="00C26BF0" w:rsidRPr="00524A62" w:rsidRDefault="00C26BF0" w:rsidP="00FB6817">
            <w:pPr>
              <w:rPr>
                <w:lang w:val="en-US"/>
              </w:rPr>
            </w:pPr>
            <w:r w:rsidRPr="00524A62">
              <w:rPr>
                <w:lang w:val="en-US"/>
              </w:rPr>
              <w:t>Danish offshore auction in 2024 (resulting in no bids)</w:t>
            </w:r>
          </w:p>
        </w:tc>
        <w:tc>
          <w:tcPr>
            <w:tcW w:w="3113" w:type="dxa"/>
          </w:tcPr>
          <w:p w14:paraId="09A3CFA6" w14:textId="77777777" w:rsidR="00C26BF0" w:rsidRPr="00524A62" w:rsidRDefault="00C26BF0" w:rsidP="00FB6817">
            <w:pPr>
              <w:rPr>
                <w:lang w:val="en-US"/>
              </w:rPr>
            </w:pPr>
            <w:r w:rsidRPr="00524A62">
              <w:rPr>
                <w:lang w:val="en-US"/>
              </w:rPr>
              <w:t>Level: 0 cents per kWh; cap: 0 cents per kWh</w:t>
            </w:r>
          </w:p>
          <w:p w14:paraId="6C61CF18" w14:textId="77777777" w:rsidR="00C26BF0" w:rsidRPr="00524A62" w:rsidRDefault="00C26BF0" w:rsidP="00FB6817">
            <w:pPr>
              <w:rPr>
                <w:lang w:val="en-US"/>
              </w:rPr>
            </w:pPr>
            <w:r w:rsidRPr="00524A62">
              <w:rPr>
                <w:lang w:val="en-US"/>
              </w:rPr>
              <w:t>(if successful, otherwise blank)</w:t>
            </w:r>
          </w:p>
        </w:tc>
      </w:tr>
      <w:tr w:rsidR="00C26BF0" w:rsidRPr="008D4356" w14:paraId="40B66A7E" w14:textId="77777777" w:rsidTr="00D54BCC">
        <w:trPr>
          <w:trHeight w:val="922"/>
        </w:trPr>
        <w:tc>
          <w:tcPr>
            <w:tcW w:w="1075" w:type="dxa"/>
          </w:tcPr>
          <w:p w14:paraId="261B31D8" w14:textId="77777777" w:rsidR="00C26BF0" w:rsidRPr="00524A62" w:rsidRDefault="00C26BF0" w:rsidP="00FB6817">
            <w:pPr>
              <w:rPr>
                <w:lang w:val="en-US"/>
              </w:rPr>
            </w:pPr>
            <w:r w:rsidRPr="00524A62">
              <w:rPr>
                <w:lang w:val="en-US"/>
              </w:rPr>
              <w:t>Auction with subsidy</w:t>
            </w:r>
          </w:p>
        </w:tc>
        <w:tc>
          <w:tcPr>
            <w:tcW w:w="2181" w:type="dxa"/>
          </w:tcPr>
          <w:p w14:paraId="7C5403F5" w14:textId="77777777" w:rsidR="00C26BF0" w:rsidRPr="00524A62" w:rsidRDefault="00C26BF0" w:rsidP="00FB6817">
            <w:pPr>
              <w:rPr>
                <w:lang w:val="en-US"/>
              </w:rPr>
            </w:pPr>
            <w:r w:rsidRPr="00524A62">
              <w:rPr>
                <w:lang w:val="en-US"/>
              </w:rPr>
              <w:t>Producers compete for a subsidy such as grants covering a certain amount of project costs.</w:t>
            </w:r>
          </w:p>
        </w:tc>
        <w:tc>
          <w:tcPr>
            <w:tcW w:w="2693" w:type="dxa"/>
          </w:tcPr>
          <w:p w14:paraId="3E28BBB3" w14:textId="795E2933" w:rsidR="00C26BF0" w:rsidRPr="00524A62" w:rsidRDefault="00C26BF0" w:rsidP="00FB6817">
            <w:pPr>
              <w:rPr>
                <w:lang w:val="en-US"/>
              </w:rPr>
            </w:pPr>
            <w:r w:rsidRPr="00524A62">
              <w:rPr>
                <w:lang w:val="en-US"/>
              </w:rPr>
              <w:t>In Luxembourg there is a “tender for investment aid for the construction and operation of PV plants, launched to support the self-consumption of electricity produced by businesses”</w:t>
            </w:r>
          </w:p>
        </w:tc>
        <w:tc>
          <w:tcPr>
            <w:tcW w:w="3113" w:type="dxa"/>
          </w:tcPr>
          <w:p w14:paraId="3BB598DF" w14:textId="3CFEE02E" w:rsidR="00C26BF0" w:rsidRPr="00524A62" w:rsidRDefault="00C26BF0" w:rsidP="00FB6817">
            <w:pPr>
              <w:rPr>
                <w:lang w:val="en-US"/>
              </w:rPr>
            </w:pPr>
            <w:r w:rsidRPr="00524A62">
              <w:rPr>
                <w:lang w:val="en-US"/>
              </w:rPr>
              <w:t>Level: the level is calculated by dividing total amount of aid over planned installed capacity</w:t>
            </w:r>
            <w:r w:rsidR="001E253A" w:rsidRPr="00524A62">
              <w:rPr>
                <w:lang w:val="en-US"/>
              </w:rPr>
              <w:t xml:space="preserve"> = </w:t>
            </w:r>
            <w:r w:rsidRPr="00524A62">
              <w:rPr>
                <w:lang w:val="en-US"/>
              </w:rPr>
              <w:t xml:space="preserve">394.92 </w:t>
            </w:r>
            <w:r w:rsidR="005A02AB">
              <w:rPr>
                <w:lang w:val="en-US"/>
              </w:rPr>
              <w:t>EUR</w:t>
            </w:r>
            <w:r w:rsidRPr="00524A62">
              <w:rPr>
                <w:lang w:val="en-US"/>
              </w:rPr>
              <w:t xml:space="preserve"> per kW</w:t>
            </w:r>
          </w:p>
        </w:tc>
      </w:tr>
    </w:tbl>
    <w:p w14:paraId="22989B29" w14:textId="360D9BA4" w:rsidR="00033A28" w:rsidRPr="00524A62" w:rsidRDefault="00033A28" w:rsidP="0049018D">
      <w:pPr>
        <w:rPr>
          <w:rFonts w:cstheme="minorHAnsi"/>
          <w:lang w:val="en-US"/>
        </w:rPr>
      </w:pPr>
    </w:p>
    <w:p w14:paraId="06204877" w14:textId="63B876BE" w:rsidR="0049018D" w:rsidRPr="00524A62" w:rsidRDefault="0049018D" w:rsidP="0049018D">
      <w:pPr>
        <w:rPr>
          <w:rFonts w:cstheme="minorHAnsi"/>
          <w:lang w:val="en-US" w:eastAsia="en-IN"/>
        </w:rPr>
      </w:pPr>
      <w:r w:rsidRPr="00524A62">
        <w:rPr>
          <w:rFonts w:cstheme="minorHAnsi"/>
          <w:lang w:val="en-US" w:eastAsia="en-IN"/>
        </w:rPr>
        <w:lastRenderedPageBreak/>
        <w:t>Tenders may include a maximum level of support that a bidder can ask for. This is recorded in the “cap” column in the dataset. The outcome of the auction (weighted average support price that bidders will receive) is recorded under level_1</w:t>
      </w:r>
      <w:r w:rsidR="00EA2CE1" w:rsidRPr="00524A62">
        <w:rPr>
          <w:rFonts w:cstheme="minorHAnsi"/>
          <w:lang w:val="en-US" w:eastAsia="en-IN"/>
        </w:rPr>
        <w:t>,</w:t>
      </w:r>
      <w:r w:rsidR="00FD6060" w:rsidRPr="00524A62">
        <w:rPr>
          <w:rFonts w:cstheme="minorHAnsi"/>
          <w:lang w:val="en-US" w:eastAsia="en-IN"/>
        </w:rPr>
        <w:t xml:space="preserve"> or in the refprice column i</w:t>
      </w:r>
      <w:r w:rsidR="00EA2CE1" w:rsidRPr="00524A62">
        <w:rPr>
          <w:rFonts w:cstheme="minorHAnsi"/>
          <w:lang w:val="en-US" w:eastAsia="en-IN"/>
        </w:rPr>
        <w:t>n the case of</w:t>
      </w:r>
      <w:r w:rsidR="00947BF1" w:rsidRPr="00524A62">
        <w:rPr>
          <w:rFonts w:cstheme="minorHAnsi"/>
          <w:lang w:val="en-US" w:eastAsia="en-IN"/>
        </w:rPr>
        <w:t xml:space="preserve"> one-sided</w:t>
      </w:r>
      <w:r w:rsidR="00EA2CE1" w:rsidRPr="00524A62">
        <w:rPr>
          <w:rFonts w:cstheme="minorHAnsi"/>
          <w:lang w:val="en-US" w:eastAsia="en-IN"/>
        </w:rPr>
        <w:t xml:space="preserve"> floating FIPs.</w:t>
      </w:r>
    </w:p>
    <w:p w14:paraId="67BF3FB0" w14:textId="69199ABD" w:rsidR="00921F8F" w:rsidRPr="00524A62" w:rsidRDefault="00921F8F" w:rsidP="0049018D">
      <w:pPr>
        <w:rPr>
          <w:rFonts w:cstheme="minorHAnsi"/>
          <w:lang w:val="en-US" w:eastAsia="en-IN"/>
        </w:rPr>
      </w:pPr>
      <w:r w:rsidRPr="00524A62">
        <w:rPr>
          <w:rFonts w:cstheme="minorHAnsi"/>
          <w:lang w:val="en-US" w:eastAsia="en-IN"/>
        </w:rPr>
        <w:t>We record each auction individually</w:t>
      </w:r>
      <w:r w:rsidR="00276F32" w:rsidRPr="00524A62">
        <w:rPr>
          <w:rFonts w:cstheme="minorHAnsi"/>
          <w:lang w:val="en-US" w:eastAsia="en-IN"/>
        </w:rPr>
        <w:t>, including the name of the auction under “policy_name”</w:t>
      </w:r>
      <w:r w:rsidRPr="00524A62">
        <w:rPr>
          <w:rFonts w:cstheme="minorHAnsi"/>
          <w:lang w:val="en-US" w:eastAsia="en-IN"/>
        </w:rPr>
        <w:t>. If a country has multiple auctions per year, these are recorded separatel</w:t>
      </w:r>
      <w:r w:rsidR="00276F32" w:rsidRPr="00524A62">
        <w:rPr>
          <w:rFonts w:cstheme="minorHAnsi"/>
          <w:lang w:val="en-US" w:eastAsia="en-IN"/>
        </w:rPr>
        <w:t xml:space="preserve">y. </w:t>
      </w:r>
    </w:p>
    <w:p w14:paraId="756B7CEC" w14:textId="34D6E7DC" w:rsidR="00934097" w:rsidRPr="00524A62" w:rsidRDefault="00934097" w:rsidP="00934097">
      <w:pPr>
        <w:pStyle w:val="Caption"/>
        <w:rPr>
          <w:rFonts w:cstheme="minorHAnsi"/>
          <w:lang w:val="en-US" w:eastAsia="en-IN"/>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20</w:t>
      </w:r>
      <w:r w:rsidRPr="00551268">
        <w:rPr>
          <w:noProof/>
          <w:lang w:val="en-US"/>
        </w:rPr>
        <w:fldChar w:fldCharType="end"/>
      </w:r>
      <w:r w:rsidRPr="00551268">
        <w:rPr>
          <w:lang w:val="en-US"/>
        </w:rPr>
        <w:t xml:space="preserve">: </w:t>
      </w:r>
      <w:r>
        <w:rPr>
          <w:lang w:val="en-US"/>
        </w:rPr>
        <w:t>Variables that apply only to tenders</w:t>
      </w:r>
    </w:p>
    <w:tbl>
      <w:tblPr>
        <w:tblStyle w:val="TableGrid"/>
        <w:tblW w:w="0" w:type="auto"/>
        <w:tblLayout w:type="fixed"/>
        <w:tblLook w:val="04A0" w:firstRow="1" w:lastRow="0" w:firstColumn="1" w:lastColumn="0" w:noHBand="0" w:noVBand="1"/>
      </w:tblPr>
      <w:tblGrid>
        <w:gridCol w:w="2785"/>
        <w:gridCol w:w="2131"/>
        <w:gridCol w:w="4146"/>
      </w:tblGrid>
      <w:tr w:rsidR="0049018D" w:rsidRPr="00524A62" w14:paraId="753E72AA" w14:textId="77777777" w:rsidTr="004C0C86">
        <w:trPr>
          <w:trHeight w:val="178"/>
        </w:trPr>
        <w:tc>
          <w:tcPr>
            <w:tcW w:w="2785" w:type="dxa"/>
            <w:noWrap/>
          </w:tcPr>
          <w:p w14:paraId="5CD5800F" w14:textId="77777777" w:rsidR="0049018D" w:rsidRPr="00524A62" w:rsidRDefault="0049018D" w:rsidP="0005606D">
            <w:pPr>
              <w:rPr>
                <w:rFonts w:cstheme="minorHAnsi"/>
                <w:lang w:val="en-US"/>
              </w:rPr>
            </w:pPr>
            <w:r w:rsidRPr="00524A62">
              <w:rPr>
                <w:rFonts w:cstheme="minorHAnsi"/>
                <w:b/>
                <w:bCs/>
                <w:lang w:val="en-US" w:eastAsia="en-IN"/>
              </w:rPr>
              <w:t>Variable name</w:t>
            </w:r>
          </w:p>
        </w:tc>
        <w:tc>
          <w:tcPr>
            <w:tcW w:w="2131" w:type="dxa"/>
            <w:noWrap/>
          </w:tcPr>
          <w:p w14:paraId="059EA3C8" w14:textId="77777777" w:rsidR="0049018D" w:rsidRPr="00524A62" w:rsidRDefault="0049018D" w:rsidP="0005606D">
            <w:pPr>
              <w:rPr>
                <w:rFonts w:cstheme="minorHAnsi"/>
                <w:lang w:val="en-US"/>
              </w:rPr>
            </w:pPr>
            <w:r w:rsidRPr="00524A62">
              <w:rPr>
                <w:rFonts w:cstheme="minorHAnsi"/>
                <w:b/>
                <w:bCs/>
                <w:lang w:val="en-US" w:eastAsia="en-IN"/>
              </w:rPr>
              <w:t>Description</w:t>
            </w:r>
          </w:p>
        </w:tc>
        <w:tc>
          <w:tcPr>
            <w:tcW w:w="4146" w:type="dxa"/>
            <w:noWrap/>
          </w:tcPr>
          <w:p w14:paraId="31FDEB73" w14:textId="77777777" w:rsidR="0049018D" w:rsidRPr="00524A62" w:rsidRDefault="0049018D" w:rsidP="0005606D">
            <w:pPr>
              <w:rPr>
                <w:rFonts w:cstheme="minorHAnsi"/>
                <w:lang w:val="en-US"/>
              </w:rPr>
            </w:pPr>
            <w:r w:rsidRPr="00524A62">
              <w:rPr>
                <w:rFonts w:cstheme="minorHAnsi"/>
                <w:b/>
                <w:bCs/>
                <w:lang w:val="en-US" w:eastAsia="en-IN"/>
              </w:rPr>
              <w:t>Values</w:t>
            </w:r>
          </w:p>
        </w:tc>
      </w:tr>
      <w:tr w:rsidR="0049018D" w:rsidRPr="008D4356" w14:paraId="4F335C0B" w14:textId="77777777" w:rsidTr="004C0C86">
        <w:trPr>
          <w:trHeight w:val="178"/>
        </w:trPr>
        <w:tc>
          <w:tcPr>
            <w:tcW w:w="2785" w:type="dxa"/>
            <w:noWrap/>
          </w:tcPr>
          <w:p w14:paraId="41DC3BD1" w14:textId="611695FE" w:rsidR="0049018D" w:rsidRPr="00524A62" w:rsidRDefault="0014212F" w:rsidP="0005606D">
            <w:pPr>
              <w:rPr>
                <w:rFonts w:cstheme="minorHAnsi"/>
                <w:lang w:val="en-US"/>
              </w:rPr>
            </w:pPr>
            <w:r w:rsidRPr="00524A62">
              <w:rPr>
                <w:rFonts w:cstheme="minorHAnsi"/>
                <w:lang w:val="en-US"/>
              </w:rPr>
              <w:t>tender_type</w:t>
            </w:r>
          </w:p>
        </w:tc>
        <w:tc>
          <w:tcPr>
            <w:tcW w:w="2131" w:type="dxa"/>
            <w:noWrap/>
          </w:tcPr>
          <w:p w14:paraId="38EF9885" w14:textId="18CE8D37" w:rsidR="0049018D" w:rsidRPr="00524A62" w:rsidRDefault="0014212F" w:rsidP="0005606D">
            <w:pPr>
              <w:rPr>
                <w:rFonts w:cstheme="minorHAnsi"/>
                <w:lang w:val="en-US"/>
              </w:rPr>
            </w:pPr>
            <w:r w:rsidRPr="00524A62">
              <w:rPr>
                <w:rFonts w:cstheme="minorHAnsi"/>
                <w:lang w:val="en-US"/>
              </w:rPr>
              <w:t>The type of support being tendered</w:t>
            </w:r>
          </w:p>
        </w:tc>
        <w:tc>
          <w:tcPr>
            <w:tcW w:w="4146" w:type="dxa"/>
            <w:noWrap/>
          </w:tcPr>
          <w:p w14:paraId="5ABAE6C1" w14:textId="1446D7D4" w:rsidR="0049018D" w:rsidRPr="00524A62" w:rsidRDefault="0014212F" w:rsidP="0005606D">
            <w:pPr>
              <w:rPr>
                <w:rFonts w:cstheme="minorHAnsi"/>
                <w:lang w:val="en-US"/>
              </w:rPr>
            </w:pPr>
            <w:r w:rsidRPr="00524A62">
              <w:rPr>
                <w:rFonts w:cstheme="minorHAnsi"/>
                <w:lang w:val="en-US"/>
              </w:rPr>
              <w:t>FIP, FIT, CfD, no support, subsidy</w:t>
            </w:r>
          </w:p>
        </w:tc>
      </w:tr>
      <w:tr w:rsidR="0014212F" w:rsidRPr="00524A62" w14:paraId="736689C4" w14:textId="77777777" w:rsidTr="004C0C86">
        <w:trPr>
          <w:trHeight w:val="178"/>
        </w:trPr>
        <w:tc>
          <w:tcPr>
            <w:tcW w:w="2785" w:type="dxa"/>
            <w:noWrap/>
          </w:tcPr>
          <w:p w14:paraId="68303701" w14:textId="724BE1BB" w:rsidR="0014212F" w:rsidRPr="00524A62" w:rsidRDefault="0014212F" w:rsidP="0014212F">
            <w:pPr>
              <w:rPr>
                <w:rFonts w:cstheme="minorHAnsi"/>
                <w:lang w:val="en-US"/>
              </w:rPr>
            </w:pPr>
            <w:r w:rsidRPr="00524A62">
              <w:rPr>
                <w:rFonts w:cstheme="minorHAnsi"/>
                <w:lang w:val="en-US"/>
              </w:rPr>
              <w:t>tender_amount_tendered</w:t>
            </w:r>
          </w:p>
        </w:tc>
        <w:tc>
          <w:tcPr>
            <w:tcW w:w="2131" w:type="dxa"/>
            <w:noWrap/>
          </w:tcPr>
          <w:p w14:paraId="1CBB02B3" w14:textId="641FBC9E" w:rsidR="0014212F" w:rsidRPr="00524A62" w:rsidRDefault="0014212F" w:rsidP="0014212F">
            <w:pPr>
              <w:rPr>
                <w:rFonts w:cstheme="minorHAnsi"/>
                <w:color w:val="000000"/>
                <w:lang w:val="en-US"/>
              </w:rPr>
            </w:pPr>
            <w:r w:rsidRPr="00524A62">
              <w:rPr>
                <w:rFonts w:cstheme="minorHAnsi"/>
                <w:color w:val="000000"/>
                <w:lang w:val="en-US"/>
              </w:rPr>
              <w:t xml:space="preserve">The amount of renewable power auctioned </w:t>
            </w:r>
          </w:p>
        </w:tc>
        <w:tc>
          <w:tcPr>
            <w:tcW w:w="4146" w:type="dxa"/>
            <w:noWrap/>
          </w:tcPr>
          <w:p w14:paraId="4D633EA1" w14:textId="3093D2A4" w:rsidR="0014212F" w:rsidRPr="00524A62" w:rsidRDefault="0014212F" w:rsidP="0014212F">
            <w:pPr>
              <w:rPr>
                <w:rFonts w:cstheme="minorHAnsi"/>
                <w:lang w:val="en-US"/>
              </w:rPr>
            </w:pPr>
            <w:r w:rsidRPr="00524A62">
              <w:rPr>
                <w:rFonts w:cstheme="minorHAnsi"/>
                <w:lang w:val="en-US"/>
              </w:rPr>
              <w:t>Numeric</w:t>
            </w:r>
          </w:p>
        </w:tc>
      </w:tr>
      <w:tr w:rsidR="0014212F" w:rsidRPr="008D4356" w14:paraId="145DEF24" w14:textId="77777777" w:rsidTr="004C0C86">
        <w:trPr>
          <w:trHeight w:val="178"/>
        </w:trPr>
        <w:tc>
          <w:tcPr>
            <w:tcW w:w="2785" w:type="dxa"/>
            <w:noWrap/>
            <w:hideMark/>
          </w:tcPr>
          <w:p w14:paraId="005EFB59" w14:textId="77777777" w:rsidR="0014212F" w:rsidRPr="00524A62" w:rsidRDefault="0014212F" w:rsidP="0014212F">
            <w:pPr>
              <w:rPr>
                <w:rFonts w:cstheme="minorHAnsi"/>
                <w:lang w:val="en-US"/>
              </w:rPr>
            </w:pPr>
            <w:r w:rsidRPr="00524A62">
              <w:rPr>
                <w:rFonts w:cstheme="minorHAnsi"/>
                <w:lang w:val="en-US"/>
              </w:rPr>
              <w:t>tender_amount_tendered_unit</w:t>
            </w:r>
          </w:p>
        </w:tc>
        <w:tc>
          <w:tcPr>
            <w:tcW w:w="2131" w:type="dxa"/>
            <w:noWrap/>
          </w:tcPr>
          <w:p w14:paraId="56DD47A4" w14:textId="77777777" w:rsidR="0014212F" w:rsidRPr="00524A62" w:rsidRDefault="0014212F" w:rsidP="0014212F">
            <w:pPr>
              <w:rPr>
                <w:rFonts w:cstheme="minorHAnsi"/>
                <w:lang w:val="en-US"/>
              </w:rPr>
            </w:pPr>
            <w:r w:rsidRPr="00524A62">
              <w:rPr>
                <w:rFonts w:cstheme="minorHAnsi"/>
                <w:color w:val="000000"/>
                <w:lang w:val="en-US"/>
              </w:rPr>
              <w:t>The unit of the tendered amount</w:t>
            </w:r>
          </w:p>
        </w:tc>
        <w:tc>
          <w:tcPr>
            <w:tcW w:w="4146" w:type="dxa"/>
            <w:noWrap/>
            <w:hideMark/>
          </w:tcPr>
          <w:p w14:paraId="02125545" w14:textId="10350E2C" w:rsidR="0014212F" w:rsidRPr="00524A62" w:rsidRDefault="0014212F" w:rsidP="0014212F">
            <w:pPr>
              <w:rPr>
                <w:rFonts w:cstheme="minorHAnsi"/>
                <w:lang w:val="en-US"/>
              </w:rPr>
            </w:pPr>
            <w:r w:rsidRPr="00524A62">
              <w:rPr>
                <w:rFonts w:cstheme="minorHAnsi"/>
                <w:lang w:val="en-US"/>
              </w:rPr>
              <w:t>MW, kW, MWh, EUR</w:t>
            </w:r>
            <w:r w:rsidR="00FD6060" w:rsidRPr="00524A62">
              <w:rPr>
                <w:rFonts w:cstheme="minorHAnsi"/>
                <w:lang w:val="en-US"/>
              </w:rPr>
              <w:t>/kW</w:t>
            </w:r>
            <w:r w:rsidRPr="00524A62">
              <w:rPr>
                <w:rFonts w:cstheme="minorHAnsi"/>
                <w:lang w:val="en-US"/>
              </w:rPr>
              <w:t xml:space="preserve"> for all technologies, MWh/year, MW wind &amp; biomass, MW non-CSP</w:t>
            </w:r>
          </w:p>
        </w:tc>
      </w:tr>
      <w:tr w:rsidR="0014212F" w:rsidRPr="00524A62" w14:paraId="463FE653" w14:textId="77777777" w:rsidTr="004C0C86">
        <w:trPr>
          <w:trHeight w:val="178"/>
        </w:trPr>
        <w:tc>
          <w:tcPr>
            <w:tcW w:w="2785" w:type="dxa"/>
            <w:noWrap/>
            <w:hideMark/>
          </w:tcPr>
          <w:p w14:paraId="72ABFEF6" w14:textId="77777777" w:rsidR="0014212F" w:rsidRPr="00524A62" w:rsidRDefault="0014212F" w:rsidP="0014212F">
            <w:pPr>
              <w:rPr>
                <w:rFonts w:cstheme="minorHAnsi"/>
                <w:lang w:val="en-US"/>
              </w:rPr>
            </w:pPr>
            <w:r w:rsidRPr="00524A62">
              <w:rPr>
                <w:rFonts w:cstheme="minorHAnsi"/>
                <w:lang w:val="en-US"/>
              </w:rPr>
              <w:t>tender_amount_contracted</w:t>
            </w:r>
          </w:p>
        </w:tc>
        <w:tc>
          <w:tcPr>
            <w:tcW w:w="2131" w:type="dxa"/>
            <w:noWrap/>
          </w:tcPr>
          <w:p w14:paraId="4B610DC4" w14:textId="1915ACB3" w:rsidR="0014212F" w:rsidRPr="00524A62" w:rsidRDefault="0014212F" w:rsidP="0014212F">
            <w:pPr>
              <w:rPr>
                <w:rFonts w:cstheme="minorHAnsi"/>
                <w:lang w:val="en-US"/>
              </w:rPr>
            </w:pPr>
            <w:r w:rsidRPr="00524A62">
              <w:rPr>
                <w:rFonts w:cstheme="minorHAnsi"/>
                <w:color w:val="000000"/>
                <w:lang w:val="en-US"/>
              </w:rPr>
              <w:t>The amount of renewable power contracted (the sum of all winning bids)</w:t>
            </w:r>
          </w:p>
        </w:tc>
        <w:tc>
          <w:tcPr>
            <w:tcW w:w="4146" w:type="dxa"/>
            <w:noWrap/>
            <w:hideMark/>
          </w:tcPr>
          <w:p w14:paraId="6559EF58" w14:textId="77777777" w:rsidR="0014212F" w:rsidRPr="00524A62" w:rsidRDefault="0014212F" w:rsidP="0014212F">
            <w:pPr>
              <w:rPr>
                <w:rFonts w:cstheme="minorHAnsi"/>
                <w:lang w:val="en-US"/>
              </w:rPr>
            </w:pPr>
            <w:r w:rsidRPr="00524A62">
              <w:rPr>
                <w:rFonts w:cstheme="minorHAnsi"/>
                <w:lang w:val="en-US"/>
              </w:rPr>
              <w:t>Numeric</w:t>
            </w:r>
          </w:p>
        </w:tc>
      </w:tr>
      <w:tr w:rsidR="0014212F" w:rsidRPr="008D4356" w14:paraId="5F79B48E" w14:textId="77777777" w:rsidTr="004C0C86">
        <w:trPr>
          <w:trHeight w:val="178"/>
        </w:trPr>
        <w:tc>
          <w:tcPr>
            <w:tcW w:w="2785" w:type="dxa"/>
            <w:noWrap/>
            <w:hideMark/>
          </w:tcPr>
          <w:p w14:paraId="1C73D273" w14:textId="12169376" w:rsidR="0014212F" w:rsidRPr="00524A62" w:rsidRDefault="0014212F" w:rsidP="0014212F">
            <w:pPr>
              <w:rPr>
                <w:rFonts w:cstheme="minorHAnsi"/>
                <w:lang w:val="en-US"/>
              </w:rPr>
            </w:pPr>
            <w:r w:rsidRPr="00524A62">
              <w:rPr>
                <w:rFonts w:cstheme="minorHAnsi"/>
                <w:lang w:val="en-US"/>
              </w:rPr>
              <w:t>tender_amount_contracted_unit</w:t>
            </w:r>
          </w:p>
        </w:tc>
        <w:tc>
          <w:tcPr>
            <w:tcW w:w="2131" w:type="dxa"/>
            <w:noWrap/>
          </w:tcPr>
          <w:p w14:paraId="225D4684" w14:textId="77777777" w:rsidR="0014212F" w:rsidRPr="00524A62" w:rsidRDefault="0014212F" w:rsidP="0014212F">
            <w:pPr>
              <w:rPr>
                <w:rFonts w:cstheme="minorHAnsi"/>
                <w:lang w:val="en-US"/>
              </w:rPr>
            </w:pPr>
            <w:r w:rsidRPr="00524A62">
              <w:rPr>
                <w:rFonts w:cstheme="minorHAnsi"/>
                <w:color w:val="000000"/>
                <w:lang w:val="en-US"/>
              </w:rPr>
              <w:t xml:space="preserve">The unit of the contracted amount </w:t>
            </w:r>
          </w:p>
        </w:tc>
        <w:tc>
          <w:tcPr>
            <w:tcW w:w="4146" w:type="dxa"/>
            <w:noWrap/>
            <w:hideMark/>
          </w:tcPr>
          <w:p w14:paraId="6F670D64" w14:textId="1D0A3BD5" w:rsidR="0014212F" w:rsidRPr="00524A62" w:rsidRDefault="00FD6060" w:rsidP="0014212F">
            <w:pPr>
              <w:rPr>
                <w:rFonts w:cstheme="minorHAnsi"/>
                <w:lang w:val="en-US"/>
              </w:rPr>
            </w:pPr>
            <w:r w:rsidRPr="00524A62">
              <w:rPr>
                <w:rFonts w:cstheme="minorHAnsi"/>
                <w:lang w:val="en-US"/>
              </w:rPr>
              <w:t>MW, kW, MWh, EUR/kW for all technologies, MWh/year, MW wind &amp; biomass, MW non-CSP</w:t>
            </w:r>
          </w:p>
        </w:tc>
      </w:tr>
      <w:tr w:rsidR="0014212F" w:rsidRPr="008D4356" w14:paraId="7CB412E9" w14:textId="77777777" w:rsidTr="004C0C86">
        <w:trPr>
          <w:trHeight w:val="178"/>
        </w:trPr>
        <w:tc>
          <w:tcPr>
            <w:tcW w:w="2785" w:type="dxa"/>
            <w:noWrap/>
          </w:tcPr>
          <w:p w14:paraId="3000E0C6" w14:textId="782BC36D" w:rsidR="0014212F" w:rsidRPr="00524A62" w:rsidRDefault="002F0540" w:rsidP="0014212F">
            <w:pPr>
              <w:rPr>
                <w:rFonts w:cstheme="minorHAnsi"/>
                <w:lang w:val="en-US"/>
              </w:rPr>
            </w:pPr>
            <w:r w:rsidRPr="00524A62">
              <w:rPr>
                <w:rFonts w:cstheme="minorHAnsi"/>
                <w:lang w:val="en-US"/>
              </w:rPr>
              <w:t>AURESII_id</w:t>
            </w:r>
          </w:p>
        </w:tc>
        <w:tc>
          <w:tcPr>
            <w:tcW w:w="2131" w:type="dxa"/>
            <w:noWrap/>
          </w:tcPr>
          <w:p w14:paraId="2CBBEBB1" w14:textId="69509BC3" w:rsidR="0014212F" w:rsidRPr="00524A62" w:rsidRDefault="0014212F" w:rsidP="0014212F">
            <w:pPr>
              <w:rPr>
                <w:rFonts w:cstheme="minorHAnsi"/>
                <w:color w:val="000000"/>
                <w:lang w:val="en-US"/>
              </w:rPr>
            </w:pPr>
            <w:r w:rsidRPr="00524A62">
              <w:rPr>
                <w:rFonts w:cstheme="minorHAnsi"/>
                <w:color w:val="000000"/>
                <w:lang w:val="en-US"/>
              </w:rPr>
              <w:t>The ID from the AURES II database corresponding with this observation</w:t>
            </w:r>
          </w:p>
        </w:tc>
        <w:tc>
          <w:tcPr>
            <w:tcW w:w="4146" w:type="dxa"/>
            <w:noWrap/>
          </w:tcPr>
          <w:p w14:paraId="404D9E06" w14:textId="77777777" w:rsidR="0014212F" w:rsidRPr="00524A62" w:rsidRDefault="0014212F" w:rsidP="0014212F">
            <w:pPr>
              <w:rPr>
                <w:rFonts w:cstheme="minorHAnsi"/>
                <w:lang w:val="en-US"/>
              </w:rPr>
            </w:pPr>
          </w:p>
        </w:tc>
      </w:tr>
    </w:tbl>
    <w:p w14:paraId="5B1095E8" w14:textId="77777777" w:rsidR="0049018D" w:rsidRPr="00524A62" w:rsidRDefault="0049018D" w:rsidP="0049018D">
      <w:pPr>
        <w:rPr>
          <w:rFonts w:cstheme="minorHAnsi"/>
          <w:lang w:val="en-US"/>
        </w:rPr>
      </w:pPr>
    </w:p>
    <w:p w14:paraId="5EC60984" w14:textId="1397E8CC" w:rsidR="00FD6060" w:rsidRPr="00524A62" w:rsidRDefault="000378D8" w:rsidP="00FD6060">
      <w:pPr>
        <w:rPr>
          <w:rFonts w:cstheme="minorHAnsi"/>
          <w:lang w:val="en-US"/>
        </w:rPr>
      </w:pPr>
      <w:r w:rsidRPr="00524A62">
        <w:rPr>
          <w:rFonts w:cstheme="minorHAnsi"/>
          <w:b/>
          <w:bCs/>
          <w:lang w:val="en-US"/>
        </w:rPr>
        <w:t>NOTE</w:t>
      </w:r>
      <w:r w:rsidR="00FD6060" w:rsidRPr="00524A62">
        <w:rPr>
          <w:rFonts w:cstheme="minorHAnsi"/>
          <w:b/>
          <w:bCs/>
          <w:lang w:val="en-US"/>
        </w:rPr>
        <w:t>:</w:t>
      </w:r>
      <w:r w:rsidR="00FD6060" w:rsidRPr="00524A62">
        <w:rPr>
          <w:rFonts w:cstheme="minorHAnsi"/>
          <w:lang w:val="en-US"/>
        </w:rPr>
        <w:t xml:space="preserve"> For the variables tender_amount_tendered_unit and tender_amount_contracted_unit</w:t>
      </w:r>
      <w:r w:rsidR="006727B0" w:rsidRPr="00524A62">
        <w:rPr>
          <w:rFonts w:cstheme="minorHAnsi"/>
          <w:lang w:val="en-US"/>
        </w:rPr>
        <w:t>, the</w:t>
      </w:r>
      <w:r w:rsidR="00BD0F0E" w:rsidRPr="00524A62">
        <w:rPr>
          <w:rFonts w:cstheme="minorHAnsi"/>
          <w:lang w:val="en-US"/>
        </w:rPr>
        <w:t xml:space="preserve"> value “EUR/kW for all technologies” is only possible when the support auctioned was available for multiple technologies (hence</w:t>
      </w:r>
      <w:r w:rsidR="006727B0" w:rsidRPr="00524A62">
        <w:rPr>
          <w:rFonts w:cstheme="minorHAnsi"/>
          <w:lang w:val="en-US"/>
        </w:rPr>
        <w:t xml:space="preserve"> the</w:t>
      </w:r>
      <w:r w:rsidR="00BD0F0E" w:rsidRPr="00524A62">
        <w:rPr>
          <w:rFonts w:cstheme="minorHAnsi"/>
          <w:lang w:val="en-US"/>
        </w:rPr>
        <w:t xml:space="preserve"> value in the </w:t>
      </w:r>
      <w:r w:rsidR="00A21A6A" w:rsidRPr="00524A62">
        <w:rPr>
          <w:rFonts w:eastAsia="Times New Roman" w:cstheme="minorHAnsi"/>
          <w:color w:val="000000"/>
          <w:lang w:val="en-US" w:eastAsia="en-IN"/>
        </w:rPr>
        <w:t>technology_</w:t>
      </w:r>
      <w:r w:rsidR="00BD0F0E" w:rsidRPr="00524A62">
        <w:rPr>
          <w:rFonts w:eastAsia="Times New Roman" w:cstheme="minorHAnsi"/>
          <w:color w:val="000000"/>
          <w:lang w:val="en-US" w:eastAsia="en-IN"/>
        </w:rPr>
        <w:t>type</w:t>
      </w:r>
      <w:r w:rsidR="006727B0" w:rsidRPr="00524A62">
        <w:rPr>
          <w:rFonts w:eastAsia="Times New Roman" w:cstheme="minorHAnsi"/>
          <w:color w:val="000000"/>
          <w:lang w:val="en-US" w:eastAsia="en-IN"/>
        </w:rPr>
        <w:t xml:space="preserve"> </w:t>
      </w:r>
      <w:r w:rsidR="006727B0" w:rsidRPr="00524A62">
        <w:rPr>
          <w:rFonts w:cstheme="minorHAnsi"/>
          <w:lang w:val="en-US"/>
        </w:rPr>
        <w:t>column</w:t>
      </w:r>
      <w:r w:rsidR="00BD0F0E" w:rsidRPr="00524A62">
        <w:rPr>
          <w:rFonts w:eastAsia="Times New Roman" w:cstheme="minorHAnsi"/>
          <w:color w:val="000000"/>
          <w:lang w:val="en-US" w:eastAsia="en-IN"/>
        </w:rPr>
        <w:t xml:space="preserve"> is “all renewables” or “multiple”.</w:t>
      </w:r>
    </w:p>
    <w:p w14:paraId="37466D99" w14:textId="5C6E3A17" w:rsidR="00FD6060" w:rsidRPr="00524A62" w:rsidRDefault="00FD6060" w:rsidP="0049018D">
      <w:pPr>
        <w:rPr>
          <w:rFonts w:cstheme="minorHAnsi"/>
          <w:lang w:val="en-US"/>
        </w:rPr>
      </w:pPr>
      <w:r w:rsidRPr="00524A62">
        <w:rPr>
          <w:rFonts w:eastAsia="Times New Roman" w:cstheme="minorHAnsi"/>
          <w:color w:val="000000"/>
          <w:lang w:val="en-US" w:eastAsia="en-IN"/>
        </w:rPr>
        <w:t xml:space="preserve">Sometimes policy instruments will cover multiple technologies, without differentiating between support levels or quotas for different technology types (such as a tender for both solar PV and wind).  In such cases, we record this as “multiple renewables” under </w:t>
      </w:r>
      <w:r w:rsidR="00A21A6A" w:rsidRPr="00524A62">
        <w:rPr>
          <w:rFonts w:eastAsia="Times New Roman" w:cstheme="minorHAnsi"/>
          <w:color w:val="000000"/>
          <w:lang w:val="en-US" w:eastAsia="en-IN"/>
        </w:rPr>
        <w:t>technology_</w:t>
      </w:r>
      <w:r w:rsidRPr="00524A62">
        <w:rPr>
          <w:rFonts w:eastAsia="Times New Roman" w:cstheme="minorHAnsi"/>
          <w:color w:val="000000"/>
          <w:lang w:val="en-US" w:eastAsia="en-IN"/>
        </w:rPr>
        <w:t xml:space="preserve">type. Further information about the combination of technologies supported when the value is “multiple renewables” is recorded in the </w:t>
      </w:r>
      <w:r w:rsidR="00A21A6A" w:rsidRPr="00524A62">
        <w:rPr>
          <w:rFonts w:eastAsia="Times New Roman" w:cstheme="minorHAnsi"/>
          <w:color w:val="000000"/>
          <w:lang w:val="en-US" w:eastAsia="en-IN"/>
        </w:rPr>
        <w:t>technology_</w:t>
      </w:r>
      <w:r w:rsidRPr="00524A62">
        <w:rPr>
          <w:rFonts w:eastAsia="Times New Roman" w:cstheme="minorHAnsi"/>
          <w:color w:val="000000"/>
          <w:lang w:val="en-US" w:eastAsia="en-IN"/>
        </w:rPr>
        <w:t xml:space="preserve">type_multiple column. </w:t>
      </w:r>
    </w:p>
    <w:p w14:paraId="37F23530" w14:textId="4B8EDE9F" w:rsidR="009D484E" w:rsidRPr="00524A62" w:rsidRDefault="0049018D" w:rsidP="0049018D">
      <w:pPr>
        <w:rPr>
          <w:rFonts w:cstheme="minorHAnsi"/>
          <w:lang w:val="en-US"/>
        </w:rPr>
      </w:pPr>
      <w:r w:rsidRPr="00524A62">
        <w:rPr>
          <w:rFonts w:cstheme="minorHAnsi"/>
          <w:lang w:val="en-US"/>
        </w:rPr>
        <w:t>Tender data are derived from Hafner &amp; Lilliestam, AURES II (</w:t>
      </w:r>
      <w:hyperlink r:id="rId15" w:history="1">
        <w:r w:rsidRPr="00524A62">
          <w:rPr>
            <w:rStyle w:val="Hyperlink"/>
            <w:rFonts w:cstheme="minorHAnsi"/>
            <w:lang w:val="en-US"/>
          </w:rPr>
          <w:t>http://aures2project.eu/</w:t>
        </w:r>
      </w:hyperlink>
      <w:r w:rsidRPr="00524A62">
        <w:rPr>
          <w:rFonts w:cstheme="minorHAnsi"/>
          <w:lang w:val="en-US"/>
        </w:rPr>
        <w:t>), and additional desktop research for all years after 2021. The sources are listed in the ‘</w:t>
      </w:r>
      <w:r w:rsidR="00A00397" w:rsidRPr="00524A62">
        <w:rPr>
          <w:rFonts w:cstheme="minorHAnsi"/>
          <w:lang w:val="en-US"/>
        </w:rPr>
        <w:t>notes</w:t>
      </w:r>
      <w:r w:rsidRPr="00524A62">
        <w:rPr>
          <w:rFonts w:cstheme="minorHAnsi"/>
          <w:lang w:val="en-US"/>
        </w:rPr>
        <w:t xml:space="preserve">’ column. Hafner &amp; Lilliestam have tender data until 2016/17, AURES II has this information until 2021. </w:t>
      </w:r>
      <w:r w:rsidR="00806E9A" w:rsidRPr="00524A62">
        <w:rPr>
          <w:rFonts w:cstheme="minorHAnsi"/>
          <w:lang w:val="en-US"/>
        </w:rPr>
        <w:t>F</w:t>
      </w:r>
      <w:r w:rsidR="009D484E" w:rsidRPr="00524A62">
        <w:rPr>
          <w:rFonts w:cstheme="minorHAnsi"/>
          <w:lang w:val="en-US"/>
        </w:rPr>
        <w:t xml:space="preserve">or more information on the transformation of AURES II auction data, see Annex 1. </w:t>
      </w:r>
    </w:p>
    <w:p w14:paraId="7A24C866" w14:textId="36113E54" w:rsidR="0049018D" w:rsidRPr="00524A62" w:rsidRDefault="000378D8" w:rsidP="0049018D">
      <w:pPr>
        <w:rPr>
          <w:rFonts w:cstheme="minorHAnsi"/>
          <w:b/>
          <w:bCs/>
          <w:lang w:val="en-US"/>
        </w:rPr>
      </w:pPr>
      <w:r w:rsidRPr="00524A62">
        <w:rPr>
          <w:rFonts w:cstheme="minorHAnsi"/>
          <w:b/>
          <w:bCs/>
          <w:lang w:val="en-US"/>
        </w:rPr>
        <w:t>N</w:t>
      </w:r>
      <w:r w:rsidR="008279C8" w:rsidRPr="00524A62">
        <w:rPr>
          <w:rFonts w:cstheme="minorHAnsi"/>
          <w:b/>
          <w:bCs/>
          <w:lang w:val="en-US"/>
        </w:rPr>
        <w:t>otes</w:t>
      </w:r>
      <w:r w:rsidR="0049018D" w:rsidRPr="00524A62">
        <w:rPr>
          <w:rFonts w:cstheme="minorHAnsi"/>
          <w:b/>
          <w:bCs/>
          <w:lang w:val="en-US"/>
        </w:rPr>
        <w:t xml:space="preserve"> on some particular characteristics of auctions:</w:t>
      </w:r>
    </w:p>
    <w:p w14:paraId="4DCAA3A9" w14:textId="5E3DA374" w:rsidR="00055147" w:rsidRDefault="009053A2" w:rsidP="00055147">
      <w:pPr>
        <w:rPr>
          <w:lang w:val="en-US"/>
        </w:rPr>
      </w:pPr>
      <w:r w:rsidRPr="00524A62">
        <w:rPr>
          <w:lang w:val="en-US"/>
        </w:rPr>
        <w:t xml:space="preserve">If the policy for auctions to occur exists, but no auctions take place in that year, </w:t>
      </w:r>
      <w:r w:rsidR="00055147" w:rsidRPr="00524A62">
        <w:rPr>
          <w:lang w:val="en-US"/>
        </w:rPr>
        <w:t>we still record that the policy existed (policy change = no), but we do not include any details on auction</w:t>
      </w:r>
      <w:r w:rsidR="000E780F" w:rsidRPr="00524A62">
        <w:rPr>
          <w:lang w:val="en-US"/>
        </w:rPr>
        <w:t xml:space="preserve">, </w:t>
      </w:r>
      <w:r w:rsidR="00055147" w:rsidRPr="00524A62">
        <w:rPr>
          <w:lang w:val="en-US"/>
        </w:rPr>
        <w:t xml:space="preserve">write (“no auctions this year”) in the </w:t>
      </w:r>
      <w:r w:rsidR="00A00397" w:rsidRPr="00524A62">
        <w:rPr>
          <w:rFonts w:cstheme="minorHAnsi"/>
          <w:lang w:val="en-US"/>
        </w:rPr>
        <w:t>notes</w:t>
      </w:r>
      <w:r w:rsidR="00A00397" w:rsidRPr="00524A62">
        <w:rPr>
          <w:lang w:val="en-US"/>
        </w:rPr>
        <w:t xml:space="preserve"> </w:t>
      </w:r>
      <w:r w:rsidR="00055147" w:rsidRPr="00524A62">
        <w:rPr>
          <w:lang w:val="en-US"/>
        </w:rPr>
        <w:t>section</w:t>
      </w:r>
      <w:r w:rsidR="000E780F" w:rsidRPr="00524A62">
        <w:rPr>
          <w:lang w:val="en-US"/>
        </w:rPr>
        <w:t>, and put NA in the level_1</w:t>
      </w:r>
      <w:r w:rsidR="007179A7" w:rsidRPr="00524A62">
        <w:rPr>
          <w:lang w:val="en-US"/>
        </w:rPr>
        <w:t xml:space="preserve"> and tender_amount_contracted</w:t>
      </w:r>
      <w:r w:rsidR="000E780F" w:rsidRPr="00524A62">
        <w:rPr>
          <w:lang w:val="en-US"/>
        </w:rPr>
        <w:t xml:space="preserve"> </w:t>
      </w:r>
      <w:r w:rsidR="000E780F" w:rsidRPr="00524A62">
        <w:rPr>
          <w:lang w:val="en-US"/>
        </w:rPr>
        <w:lastRenderedPageBreak/>
        <w:t>column</w:t>
      </w:r>
      <w:r w:rsidR="007179A7" w:rsidRPr="00524A62">
        <w:rPr>
          <w:lang w:val="en-US"/>
        </w:rPr>
        <w:t>s</w:t>
      </w:r>
      <w:r w:rsidR="00055147" w:rsidRPr="00524A62">
        <w:rPr>
          <w:lang w:val="en-US"/>
        </w:rPr>
        <w:t>.</w:t>
      </w:r>
      <w:r w:rsidR="00BA1115" w:rsidRPr="00524A62">
        <w:rPr>
          <w:lang w:val="en-US"/>
        </w:rPr>
        <w:t xml:space="preserve"> This is how we might record if </w:t>
      </w:r>
      <w:r w:rsidR="00987013" w:rsidRPr="00524A62">
        <w:rPr>
          <w:lang w:val="en-US"/>
        </w:rPr>
        <w:t>Ireland held auctions in 2011 and 2013, but not in 2012, but they had not phased out their auction policy.</w:t>
      </w:r>
      <w:r w:rsidR="000E780F" w:rsidRPr="00524A62">
        <w:rPr>
          <w:lang w:val="en-US"/>
        </w:rPr>
        <w:t xml:space="preserve"> </w:t>
      </w:r>
    </w:p>
    <w:p w14:paraId="712EAEAB" w14:textId="227E19FF" w:rsidR="00E5352E" w:rsidRPr="00524A62" w:rsidRDefault="00E5352E" w:rsidP="00E5352E">
      <w:pPr>
        <w:pStyle w:val="Caption"/>
        <w:rPr>
          <w:rFonts w:cstheme="minorHAnsi"/>
          <w:lang w:val="en-US" w:eastAsia="en-IN"/>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21</w:t>
      </w:r>
      <w:r w:rsidRPr="00551268">
        <w:rPr>
          <w:noProof/>
          <w:lang w:val="en-US"/>
        </w:rPr>
        <w:fldChar w:fldCharType="end"/>
      </w:r>
      <w:r w:rsidRPr="00551268">
        <w:rPr>
          <w:lang w:val="en-US"/>
        </w:rPr>
        <w:t xml:space="preserve">: </w:t>
      </w:r>
      <w:r>
        <w:rPr>
          <w:lang w:val="en-US"/>
        </w:rPr>
        <w:t>Recording tenders</w:t>
      </w:r>
    </w:p>
    <w:p w14:paraId="7DB48675" w14:textId="77777777" w:rsidR="00E5352E" w:rsidRPr="00524A62" w:rsidRDefault="00E5352E" w:rsidP="00055147">
      <w:pPr>
        <w:rPr>
          <w:lang w:val="en-US"/>
        </w:rPr>
      </w:pPr>
    </w:p>
    <w:tbl>
      <w:tblPr>
        <w:tblStyle w:val="TableGrid"/>
        <w:tblW w:w="5000" w:type="pct"/>
        <w:tblLayout w:type="fixed"/>
        <w:tblLook w:val="04A0" w:firstRow="1" w:lastRow="0" w:firstColumn="1" w:lastColumn="0" w:noHBand="0" w:noVBand="1"/>
      </w:tblPr>
      <w:tblGrid>
        <w:gridCol w:w="693"/>
        <w:gridCol w:w="722"/>
        <w:gridCol w:w="992"/>
        <w:gridCol w:w="991"/>
        <w:gridCol w:w="991"/>
        <w:gridCol w:w="709"/>
        <w:gridCol w:w="709"/>
        <w:gridCol w:w="1559"/>
        <w:gridCol w:w="1696"/>
      </w:tblGrid>
      <w:tr w:rsidR="00D8198E" w:rsidRPr="00524A62" w14:paraId="07757224" w14:textId="1612CA84" w:rsidTr="00EB4DD7">
        <w:trPr>
          <w:trHeight w:val="123"/>
        </w:trPr>
        <w:tc>
          <w:tcPr>
            <w:tcW w:w="382" w:type="pct"/>
          </w:tcPr>
          <w:p w14:paraId="436FC685" w14:textId="77777777" w:rsidR="00D8198E" w:rsidRPr="00524A62" w:rsidRDefault="00D8198E" w:rsidP="00ED1CBB">
            <w:pPr>
              <w:rPr>
                <w:rFonts w:cstheme="minorHAnsi"/>
                <w:lang w:val="en-US"/>
              </w:rPr>
            </w:pPr>
            <w:r w:rsidRPr="00524A62">
              <w:rPr>
                <w:rFonts w:cstheme="minorHAnsi"/>
                <w:lang w:val="en-US"/>
              </w:rPr>
              <w:t>Country</w:t>
            </w:r>
          </w:p>
        </w:tc>
        <w:tc>
          <w:tcPr>
            <w:tcW w:w="398" w:type="pct"/>
          </w:tcPr>
          <w:p w14:paraId="321FB0C3" w14:textId="77777777" w:rsidR="00D8198E" w:rsidRPr="00524A62" w:rsidRDefault="00D8198E" w:rsidP="00ED1CBB">
            <w:pPr>
              <w:rPr>
                <w:rFonts w:cstheme="minorHAnsi"/>
                <w:lang w:val="en-US"/>
              </w:rPr>
            </w:pPr>
            <w:r w:rsidRPr="00524A62">
              <w:rPr>
                <w:rFonts w:cstheme="minorHAnsi"/>
                <w:lang w:val="en-US"/>
              </w:rPr>
              <w:t>Year</w:t>
            </w:r>
          </w:p>
        </w:tc>
        <w:tc>
          <w:tcPr>
            <w:tcW w:w="547" w:type="pct"/>
          </w:tcPr>
          <w:p w14:paraId="04CCF785" w14:textId="77777777" w:rsidR="00D8198E" w:rsidRPr="00524A62" w:rsidRDefault="00D8198E" w:rsidP="00ED1CBB">
            <w:pPr>
              <w:rPr>
                <w:rFonts w:cstheme="minorHAnsi"/>
                <w:lang w:val="en-US"/>
              </w:rPr>
            </w:pPr>
            <w:r w:rsidRPr="00524A62">
              <w:rPr>
                <w:rFonts w:cstheme="minorHAnsi"/>
                <w:lang w:val="en-US"/>
              </w:rPr>
              <w:t>policy_changed</w:t>
            </w:r>
          </w:p>
        </w:tc>
        <w:tc>
          <w:tcPr>
            <w:tcW w:w="547" w:type="pct"/>
          </w:tcPr>
          <w:p w14:paraId="46405227" w14:textId="77777777" w:rsidR="00D8198E" w:rsidRPr="00524A62" w:rsidRDefault="00D8198E" w:rsidP="00ED1CBB">
            <w:pPr>
              <w:rPr>
                <w:rFonts w:cstheme="minorHAnsi"/>
                <w:lang w:val="en-US"/>
              </w:rPr>
            </w:pPr>
            <w:r w:rsidRPr="00524A62">
              <w:rPr>
                <w:rFonts w:cstheme="minorHAnsi"/>
                <w:lang w:val="en-US"/>
              </w:rPr>
              <w:t>what_changed</w:t>
            </w:r>
          </w:p>
        </w:tc>
        <w:tc>
          <w:tcPr>
            <w:tcW w:w="547" w:type="pct"/>
          </w:tcPr>
          <w:p w14:paraId="2C9C7BC9" w14:textId="18236D9E" w:rsidR="00D8198E" w:rsidRPr="00524A62" w:rsidRDefault="00A21A6A" w:rsidP="00ED1CBB">
            <w:pPr>
              <w:rPr>
                <w:rFonts w:cstheme="minorHAnsi"/>
                <w:lang w:val="en-US"/>
              </w:rPr>
            </w:pPr>
            <w:r w:rsidRPr="00524A62">
              <w:rPr>
                <w:rFonts w:cstheme="minorHAnsi"/>
                <w:lang w:val="en-US"/>
              </w:rPr>
              <w:t>technology_</w:t>
            </w:r>
            <w:r w:rsidR="00AC375E" w:rsidRPr="00524A62">
              <w:rPr>
                <w:rFonts w:cstheme="minorHAnsi"/>
                <w:lang w:val="en-US"/>
              </w:rPr>
              <w:t>type</w:t>
            </w:r>
          </w:p>
        </w:tc>
        <w:tc>
          <w:tcPr>
            <w:tcW w:w="391" w:type="pct"/>
          </w:tcPr>
          <w:p w14:paraId="0A458ACA" w14:textId="77777777" w:rsidR="00D8198E" w:rsidRPr="00524A62" w:rsidRDefault="00D8198E" w:rsidP="00ED1CBB">
            <w:pPr>
              <w:rPr>
                <w:rFonts w:cstheme="minorHAnsi"/>
                <w:lang w:val="en-US"/>
              </w:rPr>
            </w:pPr>
            <w:r w:rsidRPr="00524A62">
              <w:rPr>
                <w:rFonts w:cstheme="minorHAnsi"/>
                <w:lang w:val="en-US"/>
              </w:rPr>
              <w:t>level_1</w:t>
            </w:r>
          </w:p>
        </w:tc>
        <w:tc>
          <w:tcPr>
            <w:tcW w:w="391" w:type="pct"/>
          </w:tcPr>
          <w:p w14:paraId="28EA26C6" w14:textId="77777777" w:rsidR="00D8198E" w:rsidRPr="00524A62" w:rsidRDefault="00D8198E" w:rsidP="00ED1CBB">
            <w:pPr>
              <w:rPr>
                <w:rFonts w:cstheme="minorHAnsi"/>
                <w:lang w:val="en-US"/>
              </w:rPr>
            </w:pPr>
            <w:r w:rsidRPr="00524A62">
              <w:rPr>
                <w:rFonts w:cstheme="minorHAnsi"/>
                <w:lang w:val="en-US"/>
              </w:rPr>
              <w:t>cap</w:t>
            </w:r>
          </w:p>
        </w:tc>
        <w:tc>
          <w:tcPr>
            <w:tcW w:w="860" w:type="pct"/>
          </w:tcPr>
          <w:p w14:paraId="39DE4708" w14:textId="77777777" w:rsidR="00D8198E" w:rsidRPr="00524A62" w:rsidRDefault="00D8198E" w:rsidP="00ED1CBB">
            <w:pPr>
              <w:rPr>
                <w:rFonts w:cstheme="minorHAnsi"/>
                <w:lang w:val="en-US"/>
              </w:rPr>
            </w:pPr>
            <w:r w:rsidRPr="00524A62">
              <w:rPr>
                <w:rFonts w:cstheme="minorHAnsi"/>
                <w:lang w:val="en-US"/>
              </w:rPr>
              <w:t>tender_amount_tendered</w:t>
            </w:r>
          </w:p>
        </w:tc>
        <w:tc>
          <w:tcPr>
            <w:tcW w:w="936" w:type="pct"/>
          </w:tcPr>
          <w:p w14:paraId="69EFE7EB" w14:textId="5C870982" w:rsidR="00D8198E" w:rsidRPr="00524A62" w:rsidRDefault="00D8198E" w:rsidP="00ED1CBB">
            <w:pPr>
              <w:rPr>
                <w:rFonts w:cstheme="minorHAnsi"/>
                <w:lang w:val="en-US"/>
              </w:rPr>
            </w:pPr>
            <w:r w:rsidRPr="00524A62">
              <w:rPr>
                <w:lang w:val="en-US"/>
              </w:rPr>
              <w:t>tender_amount_contracted</w:t>
            </w:r>
          </w:p>
        </w:tc>
      </w:tr>
      <w:tr w:rsidR="00D8198E" w:rsidRPr="00524A62" w14:paraId="1ED770EB" w14:textId="33A10487" w:rsidTr="00EB4DD7">
        <w:trPr>
          <w:trHeight w:val="126"/>
        </w:trPr>
        <w:tc>
          <w:tcPr>
            <w:tcW w:w="382" w:type="pct"/>
          </w:tcPr>
          <w:p w14:paraId="3FA883FA" w14:textId="77777777" w:rsidR="00D8198E" w:rsidRPr="00524A62" w:rsidRDefault="00D8198E" w:rsidP="00D8198E">
            <w:pPr>
              <w:rPr>
                <w:rFonts w:cstheme="minorHAnsi"/>
                <w:lang w:val="en-US"/>
              </w:rPr>
            </w:pPr>
            <w:r w:rsidRPr="00524A62">
              <w:rPr>
                <w:rFonts w:cstheme="minorHAnsi"/>
                <w:lang w:val="en-US"/>
              </w:rPr>
              <w:t>IE</w:t>
            </w:r>
          </w:p>
        </w:tc>
        <w:tc>
          <w:tcPr>
            <w:tcW w:w="398" w:type="pct"/>
          </w:tcPr>
          <w:p w14:paraId="3EDBF0CD" w14:textId="77777777" w:rsidR="00D8198E" w:rsidRPr="00524A62" w:rsidRDefault="00D8198E" w:rsidP="00D8198E">
            <w:pPr>
              <w:rPr>
                <w:rFonts w:cstheme="minorHAnsi"/>
                <w:lang w:val="en-US"/>
              </w:rPr>
            </w:pPr>
            <w:r w:rsidRPr="00524A62">
              <w:rPr>
                <w:rFonts w:cstheme="minorHAnsi"/>
                <w:lang w:val="en-US"/>
              </w:rPr>
              <w:t>2011</w:t>
            </w:r>
          </w:p>
        </w:tc>
        <w:tc>
          <w:tcPr>
            <w:tcW w:w="547" w:type="pct"/>
          </w:tcPr>
          <w:p w14:paraId="16B1C04B" w14:textId="77777777" w:rsidR="00D8198E" w:rsidRPr="00524A62" w:rsidRDefault="00D8198E" w:rsidP="00D8198E">
            <w:pPr>
              <w:rPr>
                <w:rFonts w:cstheme="minorHAnsi"/>
                <w:lang w:val="en-US"/>
              </w:rPr>
            </w:pPr>
            <w:r w:rsidRPr="00524A62">
              <w:rPr>
                <w:rFonts w:cstheme="minorHAnsi"/>
                <w:lang w:val="en-US"/>
              </w:rPr>
              <w:t>no</w:t>
            </w:r>
          </w:p>
        </w:tc>
        <w:tc>
          <w:tcPr>
            <w:tcW w:w="547" w:type="pct"/>
          </w:tcPr>
          <w:p w14:paraId="3C2AAC3A" w14:textId="77777777" w:rsidR="00D8198E" w:rsidRPr="00524A62" w:rsidRDefault="00D8198E" w:rsidP="00D8198E">
            <w:pPr>
              <w:rPr>
                <w:rFonts w:cstheme="minorHAnsi"/>
                <w:lang w:val="en-US"/>
              </w:rPr>
            </w:pPr>
          </w:p>
        </w:tc>
        <w:tc>
          <w:tcPr>
            <w:tcW w:w="547" w:type="pct"/>
          </w:tcPr>
          <w:p w14:paraId="4C1E02A3" w14:textId="77777777" w:rsidR="00D8198E" w:rsidRPr="00524A62" w:rsidRDefault="00D8198E" w:rsidP="00D8198E">
            <w:pPr>
              <w:rPr>
                <w:rFonts w:cstheme="minorHAnsi"/>
                <w:lang w:val="en-US"/>
              </w:rPr>
            </w:pPr>
            <w:r w:rsidRPr="00524A62">
              <w:rPr>
                <w:rFonts w:cstheme="minorHAnsi"/>
                <w:lang w:val="en-US"/>
              </w:rPr>
              <w:t>biomass</w:t>
            </w:r>
          </w:p>
        </w:tc>
        <w:tc>
          <w:tcPr>
            <w:tcW w:w="391" w:type="pct"/>
          </w:tcPr>
          <w:p w14:paraId="365811B0" w14:textId="77777777" w:rsidR="00D8198E" w:rsidRPr="00524A62" w:rsidRDefault="00D8198E" w:rsidP="00D8198E">
            <w:pPr>
              <w:rPr>
                <w:rFonts w:cstheme="minorHAnsi"/>
                <w:lang w:val="en-US"/>
              </w:rPr>
            </w:pPr>
            <w:r w:rsidRPr="00524A62">
              <w:rPr>
                <w:rFonts w:cstheme="minorHAnsi"/>
                <w:lang w:val="en-US"/>
              </w:rPr>
              <w:t>0.10 EUR</w:t>
            </w:r>
          </w:p>
        </w:tc>
        <w:tc>
          <w:tcPr>
            <w:tcW w:w="391" w:type="pct"/>
          </w:tcPr>
          <w:p w14:paraId="6BAB6B0C" w14:textId="77777777" w:rsidR="00D8198E" w:rsidRPr="00524A62" w:rsidRDefault="00D8198E" w:rsidP="00D8198E">
            <w:pPr>
              <w:rPr>
                <w:rFonts w:cstheme="minorHAnsi"/>
                <w:lang w:val="en-US"/>
              </w:rPr>
            </w:pPr>
            <w:r w:rsidRPr="00524A62">
              <w:rPr>
                <w:rFonts w:cstheme="minorHAnsi"/>
                <w:lang w:val="en-US"/>
              </w:rPr>
              <w:t>0.11 EUR</w:t>
            </w:r>
          </w:p>
        </w:tc>
        <w:tc>
          <w:tcPr>
            <w:tcW w:w="860" w:type="pct"/>
          </w:tcPr>
          <w:p w14:paraId="2A368A98" w14:textId="77777777" w:rsidR="00D8198E" w:rsidRPr="00524A62" w:rsidRDefault="00D8198E" w:rsidP="00D8198E">
            <w:pPr>
              <w:rPr>
                <w:rFonts w:cstheme="minorHAnsi"/>
                <w:lang w:val="en-US"/>
              </w:rPr>
            </w:pPr>
            <w:r w:rsidRPr="00524A62">
              <w:rPr>
                <w:rFonts w:cstheme="minorHAnsi"/>
                <w:lang w:val="en-US"/>
              </w:rPr>
              <w:t>2 GW</w:t>
            </w:r>
          </w:p>
        </w:tc>
        <w:tc>
          <w:tcPr>
            <w:tcW w:w="936" w:type="pct"/>
          </w:tcPr>
          <w:p w14:paraId="433786EF" w14:textId="2FF0B476" w:rsidR="00D8198E" w:rsidRPr="00524A62" w:rsidRDefault="00D8198E" w:rsidP="00D8198E">
            <w:pPr>
              <w:rPr>
                <w:rFonts w:cstheme="minorHAnsi"/>
                <w:lang w:val="en-US"/>
              </w:rPr>
            </w:pPr>
            <w:r w:rsidRPr="00524A62">
              <w:rPr>
                <w:rFonts w:cstheme="minorHAnsi"/>
                <w:lang w:val="en-US"/>
              </w:rPr>
              <w:t>2 GW</w:t>
            </w:r>
          </w:p>
        </w:tc>
      </w:tr>
      <w:tr w:rsidR="00D8198E" w:rsidRPr="00524A62" w14:paraId="19DFA84E" w14:textId="44405B23" w:rsidTr="00EB4DD7">
        <w:trPr>
          <w:trHeight w:val="63"/>
        </w:trPr>
        <w:tc>
          <w:tcPr>
            <w:tcW w:w="382" w:type="pct"/>
          </w:tcPr>
          <w:p w14:paraId="4A13A616" w14:textId="77777777" w:rsidR="00D8198E" w:rsidRPr="00524A62" w:rsidRDefault="00D8198E" w:rsidP="00D8198E">
            <w:pPr>
              <w:rPr>
                <w:rFonts w:cstheme="minorHAnsi"/>
                <w:lang w:val="en-US"/>
              </w:rPr>
            </w:pPr>
            <w:r w:rsidRPr="00524A62">
              <w:rPr>
                <w:rFonts w:cstheme="minorHAnsi"/>
                <w:lang w:val="en-US"/>
              </w:rPr>
              <w:t>IE</w:t>
            </w:r>
          </w:p>
        </w:tc>
        <w:tc>
          <w:tcPr>
            <w:tcW w:w="398" w:type="pct"/>
          </w:tcPr>
          <w:p w14:paraId="6ED7751A" w14:textId="77777777" w:rsidR="00D8198E" w:rsidRPr="00524A62" w:rsidRDefault="00D8198E" w:rsidP="00D8198E">
            <w:pPr>
              <w:rPr>
                <w:rFonts w:cstheme="minorHAnsi"/>
                <w:lang w:val="en-US"/>
              </w:rPr>
            </w:pPr>
            <w:r w:rsidRPr="00524A62">
              <w:rPr>
                <w:rFonts w:cstheme="minorHAnsi"/>
                <w:lang w:val="en-US"/>
              </w:rPr>
              <w:t>2011</w:t>
            </w:r>
          </w:p>
        </w:tc>
        <w:tc>
          <w:tcPr>
            <w:tcW w:w="547" w:type="pct"/>
          </w:tcPr>
          <w:p w14:paraId="5AB461DA" w14:textId="77777777" w:rsidR="00D8198E" w:rsidRPr="00524A62" w:rsidRDefault="00D8198E" w:rsidP="00D8198E">
            <w:pPr>
              <w:rPr>
                <w:rFonts w:cstheme="minorHAnsi"/>
                <w:lang w:val="en-US"/>
              </w:rPr>
            </w:pPr>
            <w:r w:rsidRPr="00524A62">
              <w:rPr>
                <w:rFonts w:cstheme="minorHAnsi"/>
                <w:lang w:val="en-US"/>
              </w:rPr>
              <w:t>no</w:t>
            </w:r>
          </w:p>
        </w:tc>
        <w:tc>
          <w:tcPr>
            <w:tcW w:w="547" w:type="pct"/>
          </w:tcPr>
          <w:p w14:paraId="551AC854" w14:textId="77777777" w:rsidR="00D8198E" w:rsidRPr="00524A62" w:rsidRDefault="00D8198E" w:rsidP="00D8198E">
            <w:pPr>
              <w:rPr>
                <w:rFonts w:cstheme="minorHAnsi"/>
                <w:lang w:val="en-US"/>
              </w:rPr>
            </w:pPr>
          </w:p>
        </w:tc>
        <w:tc>
          <w:tcPr>
            <w:tcW w:w="547" w:type="pct"/>
          </w:tcPr>
          <w:p w14:paraId="7F841A13" w14:textId="77777777" w:rsidR="00D8198E" w:rsidRPr="00524A62" w:rsidRDefault="00D8198E" w:rsidP="00D8198E">
            <w:pPr>
              <w:rPr>
                <w:rFonts w:cstheme="minorHAnsi"/>
                <w:lang w:val="en-US"/>
              </w:rPr>
            </w:pPr>
            <w:r w:rsidRPr="00524A62">
              <w:rPr>
                <w:rFonts w:cstheme="minorHAnsi"/>
                <w:lang w:val="en-US"/>
              </w:rPr>
              <w:t>biomass</w:t>
            </w:r>
          </w:p>
        </w:tc>
        <w:tc>
          <w:tcPr>
            <w:tcW w:w="391" w:type="pct"/>
          </w:tcPr>
          <w:p w14:paraId="09E949C2" w14:textId="77777777" w:rsidR="00D8198E" w:rsidRPr="00524A62" w:rsidRDefault="00D8198E" w:rsidP="00D8198E">
            <w:pPr>
              <w:rPr>
                <w:rFonts w:cstheme="minorHAnsi"/>
                <w:lang w:val="en-US"/>
              </w:rPr>
            </w:pPr>
            <w:r w:rsidRPr="00524A62">
              <w:rPr>
                <w:rFonts w:cstheme="minorHAnsi"/>
                <w:lang w:val="en-US"/>
              </w:rPr>
              <w:t>0.11 EUR</w:t>
            </w:r>
          </w:p>
        </w:tc>
        <w:tc>
          <w:tcPr>
            <w:tcW w:w="391" w:type="pct"/>
          </w:tcPr>
          <w:p w14:paraId="55BF5EE2" w14:textId="77777777" w:rsidR="00D8198E" w:rsidRPr="00524A62" w:rsidRDefault="00D8198E" w:rsidP="00D8198E">
            <w:pPr>
              <w:rPr>
                <w:rFonts w:cstheme="minorHAnsi"/>
                <w:lang w:val="en-US"/>
              </w:rPr>
            </w:pPr>
            <w:r w:rsidRPr="00524A62">
              <w:rPr>
                <w:rFonts w:cstheme="minorHAnsi"/>
                <w:lang w:val="en-US"/>
              </w:rPr>
              <w:t>0.12 EUR</w:t>
            </w:r>
          </w:p>
        </w:tc>
        <w:tc>
          <w:tcPr>
            <w:tcW w:w="860" w:type="pct"/>
          </w:tcPr>
          <w:p w14:paraId="29A7E1EA" w14:textId="77777777" w:rsidR="00D8198E" w:rsidRPr="00524A62" w:rsidRDefault="00D8198E" w:rsidP="00D8198E">
            <w:pPr>
              <w:rPr>
                <w:rFonts w:cstheme="minorHAnsi"/>
                <w:lang w:val="en-US"/>
              </w:rPr>
            </w:pPr>
            <w:r w:rsidRPr="00524A62">
              <w:rPr>
                <w:rFonts w:cstheme="minorHAnsi"/>
                <w:lang w:val="en-US"/>
              </w:rPr>
              <w:t>1 GW</w:t>
            </w:r>
          </w:p>
        </w:tc>
        <w:tc>
          <w:tcPr>
            <w:tcW w:w="936" w:type="pct"/>
          </w:tcPr>
          <w:p w14:paraId="73F51F29" w14:textId="4047ECEE" w:rsidR="00D8198E" w:rsidRPr="00524A62" w:rsidRDefault="00D8198E" w:rsidP="00D8198E">
            <w:pPr>
              <w:rPr>
                <w:rFonts w:cstheme="minorHAnsi"/>
                <w:lang w:val="en-US"/>
              </w:rPr>
            </w:pPr>
            <w:r w:rsidRPr="00524A62">
              <w:rPr>
                <w:rFonts w:cstheme="minorHAnsi"/>
                <w:lang w:val="en-US"/>
              </w:rPr>
              <w:t>1 GW</w:t>
            </w:r>
          </w:p>
        </w:tc>
      </w:tr>
      <w:tr w:rsidR="00D8198E" w:rsidRPr="00524A62" w14:paraId="72812CE6" w14:textId="1DB952BF" w:rsidTr="00EB4DD7">
        <w:trPr>
          <w:trHeight w:val="59"/>
        </w:trPr>
        <w:tc>
          <w:tcPr>
            <w:tcW w:w="382" w:type="pct"/>
          </w:tcPr>
          <w:p w14:paraId="3448740E" w14:textId="77777777" w:rsidR="00D8198E" w:rsidRPr="00524A62" w:rsidRDefault="00D8198E" w:rsidP="00D8198E">
            <w:pPr>
              <w:rPr>
                <w:rFonts w:cstheme="minorHAnsi"/>
                <w:lang w:val="en-US"/>
              </w:rPr>
            </w:pPr>
            <w:r w:rsidRPr="00524A62">
              <w:rPr>
                <w:rFonts w:cstheme="minorHAnsi"/>
                <w:lang w:val="en-US"/>
              </w:rPr>
              <w:t>IE</w:t>
            </w:r>
          </w:p>
        </w:tc>
        <w:tc>
          <w:tcPr>
            <w:tcW w:w="398" w:type="pct"/>
          </w:tcPr>
          <w:p w14:paraId="5A990E02" w14:textId="77777777" w:rsidR="00D8198E" w:rsidRPr="00524A62" w:rsidRDefault="00D8198E" w:rsidP="00D8198E">
            <w:pPr>
              <w:rPr>
                <w:rFonts w:cstheme="minorHAnsi"/>
                <w:lang w:val="en-US"/>
              </w:rPr>
            </w:pPr>
            <w:r w:rsidRPr="00524A62">
              <w:rPr>
                <w:rFonts w:cstheme="minorHAnsi"/>
                <w:lang w:val="en-US"/>
              </w:rPr>
              <w:t>2011</w:t>
            </w:r>
          </w:p>
        </w:tc>
        <w:tc>
          <w:tcPr>
            <w:tcW w:w="547" w:type="pct"/>
          </w:tcPr>
          <w:p w14:paraId="3CBB4329" w14:textId="77777777" w:rsidR="00D8198E" w:rsidRPr="00524A62" w:rsidRDefault="00D8198E" w:rsidP="00D8198E">
            <w:pPr>
              <w:rPr>
                <w:rFonts w:cstheme="minorHAnsi"/>
                <w:lang w:val="en-US"/>
              </w:rPr>
            </w:pPr>
            <w:r w:rsidRPr="00524A62">
              <w:rPr>
                <w:rFonts w:cstheme="minorHAnsi"/>
                <w:lang w:val="en-US"/>
              </w:rPr>
              <w:t>no</w:t>
            </w:r>
          </w:p>
        </w:tc>
        <w:tc>
          <w:tcPr>
            <w:tcW w:w="547" w:type="pct"/>
          </w:tcPr>
          <w:p w14:paraId="770C4CF7" w14:textId="77777777" w:rsidR="00D8198E" w:rsidRPr="00524A62" w:rsidRDefault="00D8198E" w:rsidP="00D8198E">
            <w:pPr>
              <w:rPr>
                <w:rFonts w:cstheme="minorHAnsi"/>
                <w:lang w:val="en-US"/>
              </w:rPr>
            </w:pPr>
          </w:p>
        </w:tc>
        <w:tc>
          <w:tcPr>
            <w:tcW w:w="547" w:type="pct"/>
          </w:tcPr>
          <w:p w14:paraId="2DF18E1A" w14:textId="77777777" w:rsidR="00D8198E" w:rsidRPr="00524A62" w:rsidRDefault="00D8198E" w:rsidP="00D8198E">
            <w:pPr>
              <w:rPr>
                <w:rFonts w:cstheme="minorHAnsi"/>
                <w:lang w:val="en-US"/>
              </w:rPr>
            </w:pPr>
            <w:r w:rsidRPr="00524A62">
              <w:rPr>
                <w:rFonts w:cstheme="minorHAnsi"/>
                <w:lang w:val="en-US"/>
              </w:rPr>
              <w:t>PV</w:t>
            </w:r>
          </w:p>
        </w:tc>
        <w:tc>
          <w:tcPr>
            <w:tcW w:w="391" w:type="pct"/>
          </w:tcPr>
          <w:p w14:paraId="26E5445A" w14:textId="77777777" w:rsidR="00D8198E" w:rsidRPr="00524A62" w:rsidRDefault="00D8198E" w:rsidP="00D8198E">
            <w:pPr>
              <w:rPr>
                <w:rFonts w:cstheme="minorHAnsi"/>
                <w:lang w:val="en-US"/>
              </w:rPr>
            </w:pPr>
            <w:r w:rsidRPr="00524A62">
              <w:rPr>
                <w:rFonts w:cstheme="minorHAnsi"/>
                <w:lang w:val="en-US"/>
              </w:rPr>
              <w:t>0.12 EUR</w:t>
            </w:r>
          </w:p>
        </w:tc>
        <w:tc>
          <w:tcPr>
            <w:tcW w:w="391" w:type="pct"/>
          </w:tcPr>
          <w:p w14:paraId="447C006B" w14:textId="77777777" w:rsidR="00D8198E" w:rsidRPr="00524A62" w:rsidRDefault="00D8198E" w:rsidP="00D8198E">
            <w:pPr>
              <w:rPr>
                <w:rFonts w:cstheme="minorHAnsi"/>
                <w:lang w:val="en-US"/>
              </w:rPr>
            </w:pPr>
            <w:r w:rsidRPr="00524A62">
              <w:rPr>
                <w:rFonts w:cstheme="minorHAnsi"/>
                <w:lang w:val="en-US"/>
              </w:rPr>
              <w:t>0.14 EUR</w:t>
            </w:r>
          </w:p>
        </w:tc>
        <w:tc>
          <w:tcPr>
            <w:tcW w:w="860" w:type="pct"/>
          </w:tcPr>
          <w:p w14:paraId="6428ECE6" w14:textId="77777777" w:rsidR="00D8198E" w:rsidRPr="00524A62" w:rsidRDefault="00D8198E" w:rsidP="00D8198E">
            <w:pPr>
              <w:rPr>
                <w:rFonts w:cstheme="minorHAnsi"/>
                <w:lang w:val="en-US"/>
              </w:rPr>
            </w:pPr>
            <w:r w:rsidRPr="00524A62">
              <w:rPr>
                <w:rFonts w:cstheme="minorHAnsi"/>
                <w:lang w:val="en-US"/>
              </w:rPr>
              <w:t>3 GW</w:t>
            </w:r>
          </w:p>
        </w:tc>
        <w:tc>
          <w:tcPr>
            <w:tcW w:w="936" w:type="pct"/>
          </w:tcPr>
          <w:p w14:paraId="69A81DC2" w14:textId="22594D0A" w:rsidR="00D8198E" w:rsidRPr="00524A62" w:rsidRDefault="00D8198E" w:rsidP="00D8198E">
            <w:pPr>
              <w:rPr>
                <w:rFonts w:cstheme="minorHAnsi"/>
                <w:lang w:val="en-US"/>
              </w:rPr>
            </w:pPr>
            <w:r w:rsidRPr="00524A62">
              <w:rPr>
                <w:rFonts w:cstheme="minorHAnsi"/>
                <w:lang w:val="en-US"/>
              </w:rPr>
              <w:t>3 GW</w:t>
            </w:r>
          </w:p>
        </w:tc>
      </w:tr>
      <w:tr w:rsidR="00D8198E" w:rsidRPr="00524A62" w14:paraId="52256C95" w14:textId="718A9A67" w:rsidTr="00EB4DD7">
        <w:trPr>
          <w:trHeight w:val="59"/>
        </w:trPr>
        <w:tc>
          <w:tcPr>
            <w:tcW w:w="382" w:type="pct"/>
          </w:tcPr>
          <w:p w14:paraId="60A474BB" w14:textId="77777777" w:rsidR="00D8198E" w:rsidRPr="00524A62" w:rsidRDefault="00D8198E" w:rsidP="00D8198E">
            <w:pPr>
              <w:rPr>
                <w:rFonts w:cstheme="minorHAnsi"/>
                <w:lang w:val="en-US"/>
              </w:rPr>
            </w:pPr>
            <w:r w:rsidRPr="00524A62">
              <w:rPr>
                <w:rFonts w:cstheme="minorHAnsi"/>
                <w:lang w:val="en-US"/>
              </w:rPr>
              <w:t>IE</w:t>
            </w:r>
          </w:p>
        </w:tc>
        <w:tc>
          <w:tcPr>
            <w:tcW w:w="398" w:type="pct"/>
          </w:tcPr>
          <w:p w14:paraId="201F0978" w14:textId="77777777" w:rsidR="00D8198E" w:rsidRPr="00524A62" w:rsidRDefault="00D8198E" w:rsidP="00D8198E">
            <w:pPr>
              <w:rPr>
                <w:rFonts w:cstheme="minorHAnsi"/>
                <w:lang w:val="en-US"/>
              </w:rPr>
            </w:pPr>
            <w:r w:rsidRPr="00524A62">
              <w:rPr>
                <w:rFonts w:cstheme="minorHAnsi"/>
                <w:lang w:val="en-US"/>
              </w:rPr>
              <w:t>2012</w:t>
            </w:r>
          </w:p>
        </w:tc>
        <w:tc>
          <w:tcPr>
            <w:tcW w:w="547" w:type="pct"/>
          </w:tcPr>
          <w:p w14:paraId="61BB0AC5" w14:textId="77777777" w:rsidR="00D8198E" w:rsidRPr="00524A62" w:rsidRDefault="00D8198E" w:rsidP="00D8198E">
            <w:pPr>
              <w:rPr>
                <w:rFonts w:cstheme="minorHAnsi"/>
                <w:lang w:val="en-US"/>
              </w:rPr>
            </w:pPr>
            <w:r w:rsidRPr="00524A62">
              <w:rPr>
                <w:rFonts w:cstheme="minorHAnsi"/>
                <w:lang w:val="en-US"/>
              </w:rPr>
              <w:t>no</w:t>
            </w:r>
          </w:p>
        </w:tc>
        <w:tc>
          <w:tcPr>
            <w:tcW w:w="547" w:type="pct"/>
          </w:tcPr>
          <w:p w14:paraId="5F992106" w14:textId="77777777" w:rsidR="00D8198E" w:rsidRPr="00524A62" w:rsidRDefault="00D8198E" w:rsidP="00D8198E">
            <w:pPr>
              <w:rPr>
                <w:rFonts w:cstheme="minorHAnsi"/>
                <w:lang w:val="en-US"/>
              </w:rPr>
            </w:pPr>
          </w:p>
        </w:tc>
        <w:tc>
          <w:tcPr>
            <w:tcW w:w="547" w:type="pct"/>
          </w:tcPr>
          <w:p w14:paraId="1094CDE1" w14:textId="77777777" w:rsidR="00D8198E" w:rsidRPr="00524A62" w:rsidRDefault="00D8198E" w:rsidP="00D8198E">
            <w:pPr>
              <w:rPr>
                <w:rFonts w:cstheme="minorHAnsi"/>
                <w:lang w:val="en-US"/>
              </w:rPr>
            </w:pPr>
            <w:r w:rsidRPr="00524A62">
              <w:rPr>
                <w:rFonts w:cstheme="minorHAnsi"/>
                <w:lang w:val="en-US"/>
              </w:rPr>
              <w:t>biomass</w:t>
            </w:r>
          </w:p>
        </w:tc>
        <w:tc>
          <w:tcPr>
            <w:tcW w:w="391" w:type="pct"/>
          </w:tcPr>
          <w:p w14:paraId="37AAFD64" w14:textId="77777777" w:rsidR="00D8198E" w:rsidRPr="00524A62" w:rsidRDefault="00D8198E" w:rsidP="00D8198E">
            <w:pPr>
              <w:rPr>
                <w:rFonts w:cstheme="minorHAnsi"/>
                <w:lang w:val="en-US"/>
              </w:rPr>
            </w:pPr>
            <w:r w:rsidRPr="00524A62">
              <w:rPr>
                <w:rFonts w:cstheme="minorHAnsi"/>
                <w:lang w:val="en-US"/>
              </w:rPr>
              <w:t>NA</w:t>
            </w:r>
          </w:p>
        </w:tc>
        <w:tc>
          <w:tcPr>
            <w:tcW w:w="391" w:type="pct"/>
          </w:tcPr>
          <w:p w14:paraId="35C7B833" w14:textId="77777777" w:rsidR="00D8198E" w:rsidRPr="00524A62" w:rsidRDefault="00D8198E" w:rsidP="00D8198E">
            <w:pPr>
              <w:rPr>
                <w:rFonts w:cstheme="minorHAnsi"/>
                <w:lang w:val="en-US"/>
              </w:rPr>
            </w:pPr>
            <w:r w:rsidRPr="00524A62">
              <w:rPr>
                <w:rFonts w:cstheme="minorHAnsi"/>
                <w:lang w:val="en-US"/>
              </w:rPr>
              <w:t>NA</w:t>
            </w:r>
          </w:p>
        </w:tc>
        <w:tc>
          <w:tcPr>
            <w:tcW w:w="860" w:type="pct"/>
          </w:tcPr>
          <w:p w14:paraId="49F25252" w14:textId="77777777" w:rsidR="00D8198E" w:rsidRPr="00524A62" w:rsidRDefault="00D8198E" w:rsidP="00D8198E">
            <w:pPr>
              <w:rPr>
                <w:rFonts w:cstheme="minorHAnsi"/>
                <w:lang w:val="en-US"/>
              </w:rPr>
            </w:pPr>
            <w:r w:rsidRPr="00524A62">
              <w:rPr>
                <w:rFonts w:cstheme="minorHAnsi"/>
                <w:lang w:val="en-US"/>
              </w:rPr>
              <w:t>NA</w:t>
            </w:r>
          </w:p>
        </w:tc>
        <w:tc>
          <w:tcPr>
            <w:tcW w:w="936" w:type="pct"/>
          </w:tcPr>
          <w:p w14:paraId="6D525614" w14:textId="3092A464" w:rsidR="00D8198E" w:rsidRPr="00524A62" w:rsidRDefault="00D8198E" w:rsidP="00D8198E">
            <w:pPr>
              <w:rPr>
                <w:rFonts w:cstheme="minorHAnsi"/>
                <w:lang w:val="en-US"/>
              </w:rPr>
            </w:pPr>
            <w:r w:rsidRPr="00524A62">
              <w:rPr>
                <w:rFonts w:cstheme="minorHAnsi"/>
                <w:lang w:val="en-US"/>
              </w:rPr>
              <w:t>NA</w:t>
            </w:r>
          </w:p>
        </w:tc>
      </w:tr>
      <w:tr w:rsidR="00D8198E" w:rsidRPr="00524A62" w14:paraId="3714541C" w14:textId="0ABD366E" w:rsidTr="00EB4DD7">
        <w:trPr>
          <w:trHeight w:val="59"/>
        </w:trPr>
        <w:tc>
          <w:tcPr>
            <w:tcW w:w="382" w:type="pct"/>
          </w:tcPr>
          <w:p w14:paraId="00C37091" w14:textId="77777777" w:rsidR="00D8198E" w:rsidRPr="00524A62" w:rsidRDefault="00D8198E" w:rsidP="00D8198E">
            <w:pPr>
              <w:rPr>
                <w:rFonts w:cstheme="minorHAnsi"/>
                <w:lang w:val="en-US"/>
              </w:rPr>
            </w:pPr>
            <w:r w:rsidRPr="00524A62">
              <w:rPr>
                <w:rFonts w:cstheme="minorHAnsi"/>
                <w:lang w:val="en-US"/>
              </w:rPr>
              <w:t>IE</w:t>
            </w:r>
          </w:p>
        </w:tc>
        <w:tc>
          <w:tcPr>
            <w:tcW w:w="398" w:type="pct"/>
          </w:tcPr>
          <w:p w14:paraId="64C21562" w14:textId="77777777" w:rsidR="00D8198E" w:rsidRPr="00524A62" w:rsidRDefault="00D8198E" w:rsidP="00D8198E">
            <w:pPr>
              <w:rPr>
                <w:rFonts w:cstheme="minorHAnsi"/>
                <w:lang w:val="en-US"/>
              </w:rPr>
            </w:pPr>
            <w:r w:rsidRPr="00524A62">
              <w:rPr>
                <w:rFonts w:cstheme="minorHAnsi"/>
                <w:lang w:val="en-US"/>
              </w:rPr>
              <w:t>2012</w:t>
            </w:r>
          </w:p>
        </w:tc>
        <w:tc>
          <w:tcPr>
            <w:tcW w:w="547" w:type="pct"/>
          </w:tcPr>
          <w:p w14:paraId="04BB3EFA" w14:textId="77777777" w:rsidR="00D8198E" w:rsidRPr="00524A62" w:rsidRDefault="00D8198E" w:rsidP="00D8198E">
            <w:pPr>
              <w:rPr>
                <w:rFonts w:cstheme="minorHAnsi"/>
                <w:lang w:val="en-US"/>
              </w:rPr>
            </w:pPr>
            <w:r w:rsidRPr="00524A62">
              <w:rPr>
                <w:rFonts w:cstheme="minorHAnsi"/>
                <w:lang w:val="en-US"/>
              </w:rPr>
              <w:t>no</w:t>
            </w:r>
          </w:p>
        </w:tc>
        <w:tc>
          <w:tcPr>
            <w:tcW w:w="547" w:type="pct"/>
          </w:tcPr>
          <w:p w14:paraId="1E6BAAC1" w14:textId="77777777" w:rsidR="00D8198E" w:rsidRPr="00524A62" w:rsidRDefault="00D8198E" w:rsidP="00D8198E">
            <w:pPr>
              <w:rPr>
                <w:rFonts w:cstheme="minorHAnsi"/>
                <w:lang w:val="en-US"/>
              </w:rPr>
            </w:pPr>
          </w:p>
        </w:tc>
        <w:tc>
          <w:tcPr>
            <w:tcW w:w="547" w:type="pct"/>
          </w:tcPr>
          <w:p w14:paraId="23826EDA" w14:textId="77777777" w:rsidR="00D8198E" w:rsidRPr="00524A62" w:rsidRDefault="00D8198E" w:rsidP="00D8198E">
            <w:pPr>
              <w:rPr>
                <w:rFonts w:cstheme="minorHAnsi"/>
                <w:lang w:val="en-US"/>
              </w:rPr>
            </w:pPr>
            <w:r w:rsidRPr="00524A62">
              <w:rPr>
                <w:rFonts w:cstheme="minorHAnsi"/>
                <w:lang w:val="en-US"/>
              </w:rPr>
              <w:t>PV</w:t>
            </w:r>
          </w:p>
        </w:tc>
        <w:tc>
          <w:tcPr>
            <w:tcW w:w="391" w:type="pct"/>
          </w:tcPr>
          <w:p w14:paraId="5DE378A3" w14:textId="77777777" w:rsidR="00D8198E" w:rsidRPr="00524A62" w:rsidRDefault="00D8198E" w:rsidP="00D8198E">
            <w:pPr>
              <w:rPr>
                <w:rFonts w:cstheme="minorHAnsi"/>
                <w:lang w:val="en-US"/>
              </w:rPr>
            </w:pPr>
            <w:r w:rsidRPr="00524A62">
              <w:rPr>
                <w:rFonts w:cstheme="minorHAnsi"/>
                <w:lang w:val="en-US"/>
              </w:rPr>
              <w:t>NA</w:t>
            </w:r>
          </w:p>
        </w:tc>
        <w:tc>
          <w:tcPr>
            <w:tcW w:w="391" w:type="pct"/>
          </w:tcPr>
          <w:p w14:paraId="7A97DE14" w14:textId="77777777" w:rsidR="00D8198E" w:rsidRPr="00524A62" w:rsidRDefault="00D8198E" w:rsidP="00D8198E">
            <w:pPr>
              <w:rPr>
                <w:rFonts w:cstheme="minorHAnsi"/>
                <w:lang w:val="en-US"/>
              </w:rPr>
            </w:pPr>
            <w:r w:rsidRPr="00524A62">
              <w:rPr>
                <w:rFonts w:cstheme="minorHAnsi"/>
                <w:lang w:val="en-US"/>
              </w:rPr>
              <w:t>NA</w:t>
            </w:r>
          </w:p>
        </w:tc>
        <w:tc>
          <w:tcPr>
            <w:tcW w:w="860" w:type="pct"/>
          </w:tcPr>
          <w:p w14:paraId="2F2F8F71" w14:textId="77777777" w:rsidR="00D8198E" w:rsidRPr="00524A62" w:rsidRDefault="00D8198E" w:rsidP="00D8198E">
            <w:pPr>
              <w:rPr>
                <w:rFonts w:cstheme="minorHAnsi"/>
                <w:lang w:val="en-US"/>
              </w:rPr>
            </w:pPr>
            <w:r w:rsidRPr="00524A62">
              <w:rPr>
                <w:rFonts w:cstheme="minorHAnsi"/>
                <w:lang w:val="en-US"/>
              </w:rPr>
              <w:t>NA</w:t>
            </w:r>
          </w:p>
        </w:tc>
        <w:tc>
          <w:tcPr>
            <w:tcW w:w="936" w:type="pct"/>
          </w:tcPr>
          <w:p w14:paraId="17DDC280" w14:textId="00107C02" w:rsidR="00D8198E" w:rsidRPr="00524A62" w:rsidRDefault="00D8198E" w:rsidP="00D8198E">
            <w:pPr>
              <w:rPr>
                <w:rFonts w:cstheme="minorHAnsi"/>
                <w:lang w:val="en-US"/>
              </w:rPr>
            </w:pPr>
            <w:r w:rsidRPr="00524A62">
              <w:rPr>
                <w:rFonts w:cstheme="minorHAnsi"/>
                <w:lang w:val="en-US"/>
              </w:rPr>
              <w:t>NA</w:t>
            </w:r>
          </w:p>
        </w:tc>
      </w:tr>
      <w:tr w:rsidR="00D8198E" w:rsidRPr="00524A62" w14:paraId="4D6369AE" w14:textId="317B663E" w:rsidTr="00EB4DD7">
        <w:trPr>
          <w:trHeight w:val="59"/>
        </w:trPr>
        <w:tc>
          <w:tcPr>
            <w:tcW w:w="382" w:type="pct"/>
          </w:tcPr>
          <w:p w14:paraId="21EB8539" w14:textId="77777777" w:rsidR="00D8198E" w:rsidRPr="00524A62" w:rsidRDefault="00D8198E" w:rsidP="00D8198E">
            <w:pPr>
              <w:rPr>
                <w:rFonts w:cstheme="minorHAnsi"/>
                <w:lang w:val="en-US"/>
              </w:rPr>
            </w:pPr>
            <w:r w:rsidRPr="00524A62">
              <w:rPr>
                <w:rFonts w:cstheme="minorHAnsi"/>
                <w:lang w:val="en-US"/>
              </w:rPr>
              <w:t>IE</w:t>
            </w:r>
          </w:p>
        </w:tc>
        <w:tc>
          <w:tcPr>
            <w:tcW w:w="398" w:type="pct"/>
          </w:tcPr>
          <w:p w14:paraId="6362A762" w14:textId="77777777" w:rsidR="00D8198E" w:rsidRPr="00524A62" w:rsidRDefault="00D8198E" w:rsidP="00D8198E">
            <w:pPr>
              <w:rPr>
                <w:rFonts w:cstheme="minorHAnsi"/>
                <w:lang w:val="en-US"/>
              </w:rPr>
            </w:pPr>
            <w:r w:rsidRPr="00524A62">
              <w:rPr>
                <w:rFonts w:cstheme="minorHAnsi"/>
                <w:lang w:val="en-US"/>
              </w:rPr>
              <w:t>2013</w:t>
            </w:r>
          </w:p>
        </w:tc>
        <w:tc>
          <w:tcPr>
            <w:tcW w:w="547" w:type="pct"/>
          </w:tcPr>
          <w:p w14:paraId="5ABC45F9" w14:textId="77777777" w:rsidR="00D8198E" w:rsidRPr="00524A62" w:rsidRDefault="00D8198E" w:rsidP="00D8198E">
            <w:pPr>
              <w:rPr>
                <w:rFonts w:cstheme="minorHAnsi"/>
                <w:lang w:val="en-US"/>
              </w:rPr>
            </w:pPr>
            <w:r w:rsidRPr="00524A62">
              <w:rPr>
                <w:rFonts w:cstheme="minorHAnsi"/>
                <w:lang w:val="en-US"/>
              </w:rPr>
              <w:t>yes</w:t>
            </w:r>
          </w:p>
        </w:tc>
        <w:tc>
          <w:tcPr>
            <w:tcW w:w="547" w:type="pct"/>
          </w:tcPr>
          <w:p w14:paraId="03D54677" w14:textId="77777777" w:rsidR="00D8198E" w:rsidRPr="00524A62" w:rsidRDefault="00D8198E" w:rsidP="00D8198E">
            <w:pPr>
              <w:rPr>
                <w:rFonts w:cstheme="minorHAnsi"/>
                <w:lang w:val="en-US"/>
              </w:rPr>
            </w:pPr>
            <w:r w:rsidRPr="00524A62">
              <w:rPr>
                <w:rFonts w:cstheme="minorHAnsi"/>
                <w:lang w:val="en-US"/>
              </w:rPr>
              <w:t>wind auctions introduced</w:t>
            </w:r>
          </w:p>
        </w:tc>
        <w:tc>
          <w:tcPr>
            <w:tcW w:w="547" w:type="pct"/>
          </w:tcPr>
          <w:p w14:paraId="27FCF103" w14:textId="77777777" w:rsidR="00D8198E" w:rsidRPr="00524A62" w:rsidRDefault="00D8198E" w:rsidP="00D8198E">
            <w:pPr>
              <w:rPr>
                <w:rFonts w:cstheme="minorHAnsi"/>
                <w:lang w:val="en-US"/>
              </w:rPr>
            </w:pPr>
            <w:r w:rsidRPr="00524A62">
              <w:rPr>
                <w:rFonts w:cstheme="minorHAnsi"/>
                <w:lang w:val="en-US"/>
              </w:rPr>
              <w:t>wind</w:t>
            </w:r>
          </w:p>
        </w:tc>
        <w:tc>
          <w:tcPr>
            <w:tcW w:w="391" w:type="pct"/>
          </w:tcPr>
          <w:p w14:paraId="2DB6D942" w14:textId="77777777" w:rsidR="00D8198E" w:rsidRPr="00524A62" w:rsidRDefault="00D8198E" w:rsidP="00D8198E">
            <w:pPr>
              <w:rPr>
                <w:rFonts w:cstheme="minorHAnsi"/>
                <w:lang w:val="en-US"/>
              </w:rPr>
            </w:pPr>
            <w:r w:rsidRPr="00524A62">
              <w:rPr>
                <w:rFonts w:cstheme="minorHAnsi"/>
                <w:lang w:val="en-US"/>
              </w:rPr>
              <w:t>0.09 EUR</w:t>
            </w:r>
          </w:p>
        </w:tc>
        <w:tc>
          <w:tcPr>
            <w:tcW w:w="391" w:type="pct"/>
          </w:tcPr>
          <w:p w14:paraId="5AB9724C" w14:textId="77777777" w:rsidR="00D8198E" w:rsidRPr="00524A62" w:rsidRDefault="00D8198E" w:rsidP="00D8198E">
            <w:pPr>
              <w:rPr>
                <w:rFonts w:cstheme="minorHAnsi"/>
                <w:lang w:val="en-US"/>
              </w:rPr>
            </w:pPr>
            <w:r w:rsidRPr="00524A62">
              <w:rPr>
                <w:rFonts w:cstheme="minorHAnsi"/>
                <w:lang w:val="en-US"/>
              </w:rPr>
              <w:t>0.10 EUR</w:t>
            </w:r>
          </w:p>
        </w:tc>
        <w:tc>
          <w:tcPr>
            <w:tcW w:w="860" w:type="pct"/>
          </w:tcPr>
          <w:p w14:paraId="1762A5BA" w14:textId="77777777" w:rsidR="00D8198E" w:rsidRPr="00524A62" w:rsidRDefault="00D8198E" w:rsidP="00D8198E">
            <w:pPr>
              <w:rPr>
                <w:rFonts w:cstheme="minorHAnsi"/>
                <w:lang w:val="en-US"/>
              </w:rPr>
            </w:pPr>
            <w:r w:rsidRPr="00524A62">
              <w:rPr>
                <w:rFonts w:cstheme="minorHAnsi"/>
                <w:lang w:val="en-US"/>
              </w:rPr>
              <w:t>5 GW</w:t>
            </w:r>
          </w:p>
        </w:tc>
        <w:tc>
          <w:tcPr>
            <w:tcW w:w="936" w:type="pct"/>
          </w:tcPr>
          <w:p w14:paraId="660E25C6" w14:textId="679633BE" w:rsidR="00D8198E" w:rsidRPr="00524A62" w:rsidRDefault="00D8198E" w:rsidP="00D8198E">
            <w:pPr>
              <w:rPr>
                <w:rFonts w:cstheme="minorHAnsi"/>
                <w:lang w:val="en-US"/>
              </w:rPr>
            </w:pPr>
            <w:r w:rsidRPr="00524A62">
              <w:rPr>
                <w:rFonts w:cstheme="minorHAnsi"/>
                <w:lang w:val="en-US"/>
              </w:rPr>
              <w:t>5 GW</w:t>
            </w:r>
          </w:p>
        </w:tc>
      </w:tr>
      <w:tr w:rsidR="00D8198E" w:rsidRPr="00524A62" w14:paraId="5433ADE3" w14:textId="47CC012F" w:rsidTr="00EB4DD7">
        <w:trPr>
          <w:trHeight w:val="59"/>
        </w:trPr>
        <w:tc>
          <w:tcPr>
            <w:tcW w:w="382" w:type="pct"/>
          </w:tcPr>
          <w:p w14:paraId="79DA242E" w14:textId="77777777" w:rsidR="00D8198E" w:rsidRPr="00524A62" w:rsidRDefault="00D8198E" w:rsidP="00D8198E">
            <w:pPr>
              <w:rPr>
                <w:rFonts w:cstheme="minorHAnsi"/>
                <w:lang w:val="en-US"/>
              </w:rPr>
            </w:pPr>
            <w:r w:rsidRPr="00524A62">
              <w:rPr>
                <w:rFonts w:cstheme="minorHAnsi"/>
                <w:lang w:val="en-US"/>
              </w:rPr>
              <w:t>IE</w:t>
            </w:r>
          </w:p>
        </w:tc>
        <w:tc>
          <w:tcPr>
            <w:tcW w:w="398" w:type="pct"/>
          </w:tcPr>
          <w:p w14:paraId="40AAEF19" w14:textId="77777777" w:rsidR="00D8198E" w:rsidRPr="00524A62" w:rsidRDefault="00D8198E" w:rsidP="00D8198E">
            <w:pPr>
              <w:rPr>
                <w:rFonts w:cstheme="minorHAnsi"/>
                <w:lang w:val="en-US"/>
              </w:rPr>
            </w:pPr>
            <w:r w:rsidRPr="00524A62">
              <w:rPr>
                <w:rFonts w:cstheme="minorHAnsi"/>
                <w:lang w:val="en-US"/>
              </w:rPr>
              <w:t>2013</w:t>
            </w:r>
          </w:p>
        </w:tc>
        <w:tc>
          <w:tcPr>
            <w:tcW w:w="547" w:type="pct"/>
          </w:tcPr>
          <w:p w14:paraId="78A36B9E" w14:textId="77777777" w:rsidR="00D8198E" w:rsidRPr="00524A62" w:rsidRDefault="00D8198E" w:rsidP="00D8198E">
            <w:pPr>
              <w:rPr>
                <w:rFonts w:cstheme="minorHAnsi"/>
                <w:lang w:val="en-US"/>
              </w:rPr>
            </w:pPr>
            <w:r w:rsidRPr="00524A62">
              <w:rPr>
                <w:rFonts w:cstheme="minorHAnsi"/>
                <w:lang w:val="en-US"/>
              </w:rPr>
              <w:t>no</w:t>
            </w:r>
          </w:p>
        </w:tc>
        <w:tc>
          <w:tcPr>
            <w:tcW w:w="547" w:type="pct"/>
          </w:tcPr>
          <w:p w14:paraId="30648EED" w14:textId="77777777" w:rsidR="00D8198E" w:rsidRPr="00524A62" w:rsidRDefault="00D8198E" w:rsidP="00D8198E">
            <w:pPr>
              <w:rPr>
                <w:rFonts w:cstheme="minorHAnsi"/>
                <w:lang w:val="en-US"/>
              </w:rPr>
            </w:pPr>
          </w:p>
        </w:tc>
        <w:tc>
          <w:tcPr>
            <w:tcW w:w="547" w:type="pct"/>
          </w:tcPr>
          <w:p w14:paraId="1CCBDDC3" w14:textId="77777777" w:rsidR="00D8198E" w:rsidRPr="00524A62" w:rsidRDefault="00D8198E" w:rsidP="00D8198E">
            <w:pPr>
              <w:rPr>
                <w:rFonts w:cstheme="minorHAnsi"/>
                <w:lang w:val="en-US"/>
              </w:rPr>
            </w:pPr>
            <w:r w:rsidRPr="00524A62">
              <w:rPr>
                <w:rFonts w:cstheme="minorHAnsi"/>
                <w:lang w:val="en-US"/>
              </w:rPr>
              <w:t>biomass</w:t>
            </w:r>
          </w:p>
        </w:tc>
        <w:tc>
          <w:tcPr>
            <w:tcW w:w="391" w:type="pct"/>
          </w:tcPr>
          <w:p w14:paraId="54073624" w14:textId="3143B4FE" w:rsidR="00D8198E" w:rsidRPr="00524A62" w:rsidRDefault="00D8198E" w:rsidP="00D8198E">
            <w:pPr>
              <w:rPr>
                <w:rFonts w:cstheme="minorHAnsi"/>
                <w:lang w:val="en-US"/>
              </w:rPr>
            </w:pPr>
            <w:r w:rsidRPr="00524A62">
              <w:rPr>
                <w:rFonts w:cstheme="minorHAnsi"/>
                <w:lang w:val="en-US"/>
              </w:rPr>
              <w:t>0.11 EUR</w:t>
            </w:r>
          </w:p>
        </w:tc>
        <w:tc>
          <w:tcPr>
            <w:tcW w:w="391" w:type="pct"/>
          </w:tcPr>
          <w:p w14:paraId="33B4D4AD" w14:textId="00F3E4BD" w:rsidR="00D8198E" w:rsidRPr="00524A62" w:rsidRDefault="00D8198E" w:rsidP="00D8198E">
            <w:pPr>
              <w:rPr>
                <w:rFonts w:cstheme="minorHAnsi"/>
                <w:lang w:val="en-US"/>
              </w:rPr>
            </w:pPr>
            <w:r w:rsidRPr="00524A62">
              <w:rPr>
                <w:rFonts w:cstheme="minorHAnsi"/>
                <w:lang w:val="en-US"/>
              </w:rPr>
              <w:t>0.12 EUR</w:t>
            </w:r>
          </w:p>
        </w:tc>
        <w:tc>
          <w:tcPr>
            <w:tcW w:w="860" w:type="pct"/>
          </w:tcPr>
          <w:p w14:paraId="3B4FC345" w14:textId="793C7311" w:rsidR="00D8198E" w:rsidRPr="00524A62" w:rsidRDefault="00D8198E" w:rsidP="00D8198E">
            <w:pPr>
              <w:rPr>
                <w:rFonts w:cstheme="minorHAnsi"/>
                <w:lang w:val="en-US"/>
              </w:rPr>
            </w:pPr>
            <w:r w:rsidRPr="00524A62">
              <w:rPr>
                <w:rFonts w:cstheme="minorHAnsi"/>
                <w:lang w:val="en-US"/>
              </w:rPr>
              <w:t>1 GW</w:t>
            </w:r>
          </w:p>
        </w:tc>
        <w:tc>
          <w:tcPr>
            <w:tcW w:w="936" w:type="pct"/>
          </w:tcPr>
          <w:p w14:paraId="78564342" w14:textId="1F1758F6" w:rsidR="00D8198E" w:rsidRPr="00524A62" w:rsidRDefault="00D8198E" w:rsidP="00D8198E">
            <w:pPr>
              <w:rPr>
                <w:rFonts w:cstheme="minorHAnsi"/>
                <w:lang w:val="en-US"/>
              </w:rPr>
            </w:pPr>
            <w:r w:rsidRPr="00524A62">
              <w:rPr>
                <w:rFonts w:cstheme="minorHAnsi"/>
                <w:lang w:val="en-US"/>
              </w:rPr>
              <w:t>1 GW</w:t>
            </w:r>
          </w:p>
        </w:tc>
      </w:tr>
      <w:tr w:rsidR="00D8198E" w:rsidRPr="00524A62" w14:paraId="1DC3EF00" w14:textId="205F3D5B" w:rsidTr="00EB4DD7">
        <w:trPr>
          <w:trHeight w:val="59"/>
        </w:trPr>
        <w:tc>
          <w:tcPr>
            <w:tcW w:w="382" w:type="pct"/>
          </w:tcPr>
          <w:p w14:paraId="5DA2AD1D" w14:textId="77777777" w:rsidR="00D8198E" w:rsidRPr="00524A62" w:rsidRDefault="00D8198E" w:rsidP="00D8198E">
            <w:pPr>
              <w:rPr>
                <w:rFonts w:cstheme="minorHAnsi"/>
                <w:lang w:val="en-US"/>
              </w:rPr>
            </w:pPr>
            <w:r w:rsidRPr="00524A62">
              <w:rPr>
                <w:rFonts w:cstheme="minorHAnsi"/>
                <w:lang w:val="en-US"/>
              </w:rPr>
              <w:t>IE</w:t>
            </w:r>
          </w:p>
        </w:tc>
        <w:tc>
          <w:tcPr>
            <w:tcW w:w="398" w:type="pct"/>
          </w:tcPr>
          <w:p w14:paraId="44D80E99" w14:textId="77777777" w:rsidR="00D8198E" w:rsidRPr="00524A62" w:rsidRDefault="00D8198E" w:rsidP="00D8198E">
            <w:pPr>
              <w:rPr>
                <w:rFonts w:cstheme="minorHAnsi"/>
                <w:lang w:val="en-US"/>
              </w:rPr>
            </w:pPr>
            <w:r w:rsidRPr="00524A62">
              <w:rPr>
                <w:rFonts w:cstheme="minorHAnsi"/>
                <w:lang w:val="en-US"/>
              </w:rPr>
              <w:t>2013</w:t>
            </w:r>
          </w:p>
        </w:tc>
        <w:tc>
          <w:tcPr>
            <w:tcW w:w="547" w:type="pct"/>
          </w:tcPr>
          <w:p w14:paraId="2FB4CDFD" w14:textId="77777777" w:rsidR="00D8198E" w:rsidRPr="00524A62" w:rsidRDefault="00D8198E" w:rsidP="00D8198E">
            <w:pPr>
              <w:rPr>
                <w:rFonts w:cstheme="minorHAnsi"/>
                <w:lang w:val="en-US"/>
              </w:rPr>
            </w:pPr>
            <w:r w:rsidRPr="00524A62">
              <w:rPr>
                <w:rFonts w:cstheme="minorHAnsi"/>
                <w:lang w:val="en-US"/>
              </w:rPr>
              <w:t>no</w:t>
            </w:r>
          </w:p>
        </w:tc>
        <w:tc>
          <w:tcPr>
            <w:tcW w:w="547" w:type="pct"/>
          </w:tcPr>
          <w:p w14:paraId="464F248C" w14:textId="77777777" w:rsidR="00D8198E" w:rsidRPr="00524A62" w:rsidRDefault="00D8198E" w:rsidP="00D8198E">
            <w:pPr>
              <w:rPr>
                <w:rFonts w:cstheme="minorHAnsi"/>
                <w:lang w:val="en-US"/>
              </w:rPr>
            </w:pPr>
          </w:p>
        </w:tc>
        <w:tc>
          <w:tcPr>
            <w:tcW w:w="547" w:type="pct"/>
          </w:tcPr>
          <w:p w14:paraId="6539ED31" w14:textId="77777777" w:rsidR="00D8198E" w:rsidRPr="00524A62" w:rsidRDefault="00D8198E" w:rsidP="00D8198E">
            <w:pPr>
              <w:rPr>
                <w:rFonts w:cstheme="minorHAnsi"/>
                <w:lang w:val="en-US"/>
              </w:rPr>
            </w:pPr>
            <w:r w:rsidRPr="00524A62">
              <w:rPr>
                <w:rFonts w:cstheme="minorHAnsi"/>
                <w:lang w:val="en-US"/>
              </w:rPr>
              <w:t>PV</w:t>
            </w:r>
          </w:p>
        </w:tc>
        <w:tc>
          <w:tcPr>
            <w:tcW w:w="391" w:type="pct"/>
          </w:tcPr>
          <w:p w14:paraId="7A4D64F0" w14:textId="2991E1D3" w:rsidR="00D8198E" w:rsidRPr="00524A62" w:rsidRDefault="00D8198E" w:rsidP="00D8198E">
            <w:pPr>
              <w:rPr>
                <w:rFonts w:cstheme="minorHAnsi"/>
                <w:lang w:val="en-US"/>
              </w:rPr>
            </w:pPr>
            <w:r w:rsidRPr="00524A62">
              <w:rPr>
                <w:rFonts w:cstheme="minorHAnsi"/>
                <w:lang w:val="en-US"/>
              </w:rPr>
              <w:t>0.12 EUR</w:t>
            </w:r>
          </w:p>
        </w:tc>
        <w:tc>
          <w:tcPr>
            <w:tcW w:w="391" w:type="pct"/>
          </w:tcPr>
          <w:p w14:paraId="062639DC" w14:textId="49003CFB" w:rsidR="00D8198E" w:rsidRPr="00524A62" w:rsidRDefault="00D8198E" w:rsidP="00D8198E">
            <w:pPr>
              <w:rPr>
                <w:rFonts w:cstheme="minorHAnsi"/>
                <w:lang w:val="en-US"/>
              </w:rPr>
            </w:pPr>
            <w:r w:rsidRPr="00524A62">
              <w:rPr>
                <w:rFonts w:cstheme="minorHAnsi"/>
                <w:lang w:val="en-US"/>
              </w:rPr>
              <w:t>0.14 EUR</w:t>
            </w:r>
          </w:p>
        </w:tc>
        <w:tc>
          <w:tcPr>
            <w:tcW w:w="860" w:type="pct"/>
          </w:tcPr>
          <w:p w14:paraId="03866B57" w14:textId="3BFB09AE" w:rsidR="00D8198E" w:rsidRPr="00524A62" w:rsidRDefault="00D8198E" w:rsidP="00D8198E">
            <w:pPr>
              <w:rPr>
                <w:rFonts w:cstheme="minorHAnsi"/>
                <w:lang w:val="en-US"/>
              </w:rPr>
            </w:pPr>
            <w:r w:rsidRPr="00524A62">
              <w:rPr>
                <w:rFonts w:cstheme="minorHAnsi"/>
                <w:lang w:val="en-US"/>
              </w:rPr>
              <w:t>3 GW</w:t>
            </w:r>
          </w:p>
        </w:tc>
        <w:tc>
          <w:tcPr>
            <w:tcW w:w="936" w:type="pct"/>
          </w:tcPr>
          <w:p w14:paraId="00C181A3" w14:textId="28AF2637" w:rsidR="00D8198E" w:rsidRPr="00524A62" w:rsidRDefault="00D8198E" w:rsidP="00D8198E">
            <w:pPr>
              <w:rPr>
                <w:rFonts w:cstheme="minorHAnsi"/>
                <w:lang w:val="en-US"/>
              </w:rPr>
            </w:pPr>
            <w:r w:rsidRPr="00524A62">
              <w:rPr>
                <w:rFonts w:cstheme="minorHAnsi"/>
                <w:lang w:val="en-US"/>
              </w:rPr>
              <w:t>3 GW</w:t>
            </w:r>
          </w:p>
        </w:tc>
      </w:tr>
    </w:tbl>
    <w:p w14:paraId="5CBCB077" w14:textId="77777777" w:rsidR="00055147" w:rsidRPr="00524A62" w:rsidRDefault="00055147" w:rsidP="0049018D">
      <w:pPr>
        <w:rPr>
          <w:rFonts w:cstheme="minorHAnsi"/>
          <w:lang w:val="en-US"/>
        </w:rPr>
      </w:pPr>
    </w:p>
    <w:p w14:paraId="313780A0" w14:textId="63FB9C94" w:rsidR="007C5FE4" w:rsidRDefault="00806E9A" w:rsidP="007C5FE4">
      <w:pPr>
        <w:rPr>
          <w:lang w:val="en-US"/>
        </w:rPr>
      </w:pPr>
      <w:r w:rsidRPr="00524A62">
        <w:rPr>
          <w:rFonts w:cstheme="minorHAnsi"/>
          <w:lang w:val="en-US"/>
        </w:rPr>
        <w:t>Failed auctions:</w:t>
      </w:r>
      <w:r w:rsidR="007C5FE4" w:rsidRPr="00524A62">
        <w:rPr>
          <w:rFonts w:cstheme="minorHAnsi"/>
          <w:lang w:val="en-US"/>
        </w:rPr>
        <w:t xml:space="preserve"> </w:t>
      </w:r>
      <w:r w:rsidR="007C5FE4" w:rsidRPr="00524A62">
        <w:rPr>
          <w:lang w:val="en-US"/>
        </w:rPr>
        <w:t>If there are auctions that are unsuccessful – or where the design is changed because they didn’t get enough bids</w:t>
      </w:r>
      <w:r w:rsidR="003F6AE4" w:rsidRPr="00524A62">
        <w:rPr>
          <w:lang w:val="en-US"/>
        </w:rPr>
        <w:t xml:space="preserve">, we record 0 in the </w:t>
      </w:r>
      <w:r w:rsidR="00665AB7" w:rsidRPr="00524A62">
        <w:rPr>
          <w:lang w:val="en-US"/>
        </w:rPr>
        <w:t>tender_</w:t>
      </w:r>
      <w:r w:rsidR="003F6AE4" w:rsidRPr="00524A62">
        <w:rPr>
          <w:lang w:val="en-US"/>
        </w:rPr>
        <w:t>amount_contracted column, but put NA in the level_1 column.</w:t>
      </w:r>
    </w:p>
    <w:p w14:paraId="46B2CA88" w14:textId="01E6CD2F" w:rsidR="00E5352E" w:rsidRPr="00E5352E" w:rsidRDefault="00E5352E" w:rsidP="00E5352E">
      <w:pPr>
        <w:pStyle w:val="Caption"/>
        <w:rPr>
          <w:rFonts w:cstheme="minorHAnsi"/>
          <w:lang w:val="en-US" w:eastAsia="en-IN"/>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910EA2">
        <w:rPr>
          <w:noProof/>
          <w:lang w:val="en-US"/>
        </w:rPr>
        <w:t>22</w:t>
      </w:r>
      <w:r w:rsidRPr="00551268">
        <w:rPr>
          <w:noProof/>
          <w:lang w:val="en-US"/>
        </w:rPr>
        <w:fldChar w:fldCharType="end"/>
      </w:r>
      <w:r w:rsidRPr="00551268">
        <w:rPr>
          <w:lang w:val="en-US"/>
        </w:rPr>
        <w:t xml:space="preserve">: </w:t>
      </w:r>
      <w:r>
        <w:rPr>
          <w:lang w:val="en-US"/>
        </w:rPr>
        <w:t>Recording failed tenders</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5"/>
        <w:gridCol w:w="900"/>
        <w:gridCol w:w="900"/>
        <w:gridCol w:w="1418"/>
        <w:gridCol w:w="598"/>
        <w:gridCol w:w="1494"/>
        <w:gridCol w:w="1685"/>
        <w:gridCol w:w="2275"/>
      </w:tblGrid>
      <w:tr w:rsidR="00245F1B" w:rsidRPr="00524A62" w14:paraId="26F2BD69" w14:textId="77777777" w:rsidTr="00BC3D63">
        <w:trPr>
          <w:trHeight w:val="34"/>
        </w:trPr>
        <w:tc>
          <w:tcPr>
            <w:tcW w:w="715" w:type="dxa"/>
            <w:tcMar>
              <w:top w:w="0" w:type="dxa"/>
              <w:left w:w="108" w:type="dxa"/>
              <w:bottom w:w="0" w:type="dxa"/>
              <w:right w:w="108" w:type="dxa"/>
            </w:tcMar>
            <w:hideMark/>
          </w:tcPr>
          <w:p w14:paraId="394E59F6" w14:textId="091DB2C0" w:rsidR="003F6AE4" w:rsidRPr="00524A62" w:rsidRDefault="00B46AE8" w:rsidP="00BC3D63">
            <w:pPr>
              <w:spacing w:after="0"/>
              <w:rPr>
                <w:lang w:val="en-US"/>
              </w:rPr>
            </w:pPr>
            <w:r>
              <w:rPr>
                <w:lang w:val="en-US"/>
              </w:rPr>
              <w:t>y</w:t>
            </w:r>
            <w:r w:rsidR="003F6AE4" w:rsidRPr="00524A62">
              <w:rPr>
                <w:lang w:val="en-US"/>
              </w:rPr>
              <w:t>ear</w:t>
            </w:r>
          </w:p>
        </w:tc>
        <w:tc>
          <w:tcPr>
            <w:tcW w:w="900" w:type="dxa"/>
          </w:tcPr>
          <w:p w14:paraId="0DDDF20F" w14:textId="4F4491A3" w:rsidR="003F6AE4" w:rsidRPr="00524A62" w:rsidRDefault="00A21A6A" w:rsidP="00BC3D63">
            <w:pPr>
              <w:spacing w:after="0"/>
              <w:rPr>
                <w:lang w:val="en-US"/>
              </w:rPr>
            </w:pPr>
            <w:r w:rsidRPr="00524A62">
              <w:rPr>
                <w:lang w:val="en-US"/>
              </w:rPr>
              <w:t>technology_</w:t>
            </w:r>
            <w:r w:rsidR="00AC375E" w:rsidRPr="00524A62">
              <w:rPr>
                <w:lang w:val="en-US"/>
              </w:rPr>
              <w:t>type</w:t>
            </w:r>
          </w:p>
        </w:tc>
        <w:tc>
          <w:tcPr>
            <w:tcW w:w="900" w:type="dxa"/>
            <w:tcMar>
              <w:top w:w="0" w:type="dxa"/>
              <w:left w:w="108" w:type="dxa"/>
              <w:bottom w:w="0" w:type="dxa"/>
              <w:right w:w="108" w:type="dxa"/>
            </w:tcMar>
            <w:hideMark/>
          </w:tcPr>
          <w:p w14:paraId="169BEC10" w14:textId="197C67E5" w:rsidR="003F6AE4" w:rsidRPr="00524A62" w:rsidRDefault="003F6AE4" w:rsidP="00BC3D63">
            <w:pPr>
              <w:spacing w:after="0"/>
              <w:rPr>
                <w:lang w:val="en-US"/>
              </w:rPr>
            </w:pPr>
            <w:r w:rsidRPr="00524A62">
              <w:rPr>
                <w:lang w:val="en-US"/>
              </w:rPr>
              <w:t>policy_change</w:t>
            </w:r>
          </w:p>
        </w:tc>
        <w:tc>
          <w:tcPr>
            <w:tcW w:w="1418" w:type="dxa"/>
            <w:tcMar>
              <w:top w:w="0" w:type="dxa"/>
              <w:left w:w="108" w:type="dxa"/>
              <w:bottom w:w="0" w:type="dxa"/>
              <w:right w:w="108" w:type="dxa"/>
            </w:tcMar>
            <w:hideMark/>
          </w:tcPr>
          <w:p w14:paraId="76BBE7A5" w14:textId="54AA700A" w:rsidR="003F6AE4" w:rsidRPr="00524A62" w:rsidRDefault="003F6AE4" w:rsidP="00BC3D63">
            <w:pPr>
              <w:spacing w:after="0"/>
              <w:rPr>
                <w:lang w:val="en-US"/>
              </w:rPr>
            </w:pPr>
            <w:r w:rsidRPr="00524A62">
              <w:rPr>
                <w:lang w:val="en-US"/>
              </w:rPr>
              <w:t>policy_change_detail</w:t>
            </w:r>
          </w:p>
        </w:tc>
        <w:tc>
          <w:tcPr>
            <w:tcW w:w="598" w:type="dxa"/>
          </w:tcPr>
          <w:p w14:paraId="0C323792" w14:textId="5B9BB5ED" w:rsidR="003F6AE4" w:rsidRPr="00524A62" w:rsidRDefault="00245F1B" w:rsidP="00BC3D63">
            <w:pPr>
              <w:spacing w:after="0"/>
              <w:rPr>
                <w:lang w:val="en-US"/>
              </w:rPr>
            </w:pPr>
            <w:r w:rsidRPr="00524A62">
              <w:rPr>
                <w:lang w:val="en-US"/>
              </w:rPr>
              <w:t>level_1</w:t>
            </w:r>
          </w:p>
        </w:tc>
        <w:tc>
          <w:tcPr>
            <w:tcW w:w="1494" w:type="dxa"/>
            <w:tcMar>
              <w:top w:w="0" w:type="dxa"/>
              <w:left w:w="108" w:type="dxa"/>
              <w:bottom w:w="0" w:type="dxa"/>
              <w:right w:w="108" w:type="dxa"/>
            </w:tcMar>
            <w:hideMark/>
          </w:tcPr>
          <w:p w14:paraId="21B289DF" w14:textId="3D7C3367" w:rsidR="003F6AE4" w:rsidRPr="00524A62" w:rsidRDefault="00D8198E" w:rsidP="00BC3D63">
            <w:pPr>
              <w:spacing w:after="0"/>
              <w:rPr>
                <w:lang w:val="en-US"/>
              </w:rPr>
            </w:pPr>
            <w:r w:rsidRPr="00524A62">
              <w:rPr>
                <w:lang w:val="en-US"/>
              </w:rPr>
              <w:t>tender_</w:t>
            </w:r>
            <w:r w:rsidR="003F6AE4" w:rsidRPr="00524A62">
              <w:rPr>
                <w:lang w:val="en-US"/>
              </w:rPr>
              <w:t>amount_tendered</w:t>
            </w:r>
          </w:p>
        </w:tc>
        <w:tc>
          <w:tcPr>
            <w:tcW w:w="1685" w:type="dxa"/>
            <w:tcMar>
              <w:top w:w="0" w:type="dxa"/>
              <w:left w:w="108" w:type="dxa"/>
              <w:bottom w:w="0" w:type="dxa"/>
              <w:right w:w="108" w:type="dxa"/>
            </w:tcMar>
            <w:hideMark/>
          </w:tcPr>
          <w:p w14:paraId="595FFD43" w14:textId="75A54088" w:rsidR="003F6AE4" w:rsidRPr="00524A62" w:rsidRDefault="00D8198E" w:rsidP="00BC3D63">
            <w:pPr>
              <w:spacing w:after="0"/>
              <w:rPr>
                <w:lang w:val="en-US"/>
              </w:rPr>
            </w:pPr>
            <w:r w:rsidRPr="00524A62">
              <w:rPr>
                <w:lang w:val="en-US"/>
              </w:rPr>
              <w:t>tender_</w:t>
            </w:r>
            <w:r w:rsidR="003F6AE4" w:rsidRPr="00524A62">
              <w:rPr>
                <w:lang w:val="en-US"/>
              </w:rPr>
              <w:t>amount_contracted</w:t>
            </w:r>
          </w:p>
        </w:tc>
        <w:tc>
          <w:tcPr>
            <w:tcW w:w="2275" w:type="dxa"/>
            <w:tcMar>
              <w:top w:w="0" w:type="dxa"/>
              <w:left w:w="108" w:type="dxa"/>
              <w:bottom w:w="0" w:type="dxa"/>
              <w:right w:w="108" w:type="dxa"/>
            </w:tcMar>
            <w:hideMark/>
          </w:tcPr>
          <w:p w14:paraId="5283D798" w14:textId="362701A4" w:rsidR="003F6AE4" w:rsidRPr="00524A62" w:rsidRDefault="000378D8" w:rsidP="00BC3D63">
            <w:pPr>
              <w:spacing w:after="0"/>
              <w:rPr>
                <w:lang w:val="en-US"/>
              </w:rPr>
            </w:pPr>
            <w:r w:rsidRPr="00524A62">
              <w:rPr>
                <w:lang w:val="en-US"/>
              </w:rPr>
              <w:t>N</w:t>
            </w:r>
            <w:r w:rsidR="00056EFE" w:rsidRPr="00524A62">
              <w:rPr>
                <w:lang w:val="en-US"/>
              </w:rPr>
              <w:t>ote</w:t>
            </w:r>
            <w:r w:rsidR="003F6AE4" w:rsidRPr="00524A62">
              <w:rPr>
                <w:lang w:val="en-US"/>
              </w:rPr>
              <w:t>s</w:t>
            </w:r>
          </w:p>
        </w:tc>
      </w:tr>
      <w:tr w:rsidR="00245F1B" w:rsidRPr="008D4356" w14:paraId="0DED5CBE" w14:textId="77777777" w:rsidTr="00BC3D63">
        <w:trPr>
          <w:trHeight w:val="34"/>
        </w:trPr>
        <w:tc>
          <w:tcPr>
            <w:tcW w:w="715" w:type="dxa"/>
            <w:tcMar>
              <w:top w:w="0" w:type="dxa"/>
              <w:left w:w="108" w:type="dxa"/>
              <w:bottom w:w="0" w:type="dxa"/>
              <w:right w:w="108" w:type="dxa"/>
            </w:tcMar>
            <w:hideMark/>
          </w:tcPr>
          <w:p w14:paraId="49591ACB" w14:textId="77777777" w:rsidR="003F6AE4" w:rsidRPr="00524A62" w:rsidRDefault="003F6AE4" w:rsidP="00BC3D63">
            <w:pPr>
              <w:spacing w:after="0"/>
              <w:rPr>
                <w:lang w:val="en-US"/>
              </w:rPr>
            </w:pPr>
            <w:r w:rsidRPr="00524A62">
              <w:rPr>
                <w:lang w:val="en-US"/>
              </w:rPr>
              <w:t>2006</w:t>
            </w:r>
          </w:p>
        </w:tc>
        <w:tc>
          <w:tcPr>
            <w:tcW w:w="900" w:type="dxa"/>
          </w:tcPr>
          <w:p w14:paraId="7A65B9AE" w14:textId="77777777" w:rsidR="003F6AE4" w:rsidRPr="00524A62" w:rsidRDefault="003F6AE4" w:rsidP="00BC3D63">
            <w:pPr>
              <w:spacing w:after="0"/>
              <w:rPr>
                <w:lang w:val="en-US"/>
              </w:rPr>
            </w:pPr>
            <w:r w:rsidRPr="00524A62">
              <w:rPr>
                <w:lang w:val="en-US"/>
              </w:rPr>
              <w:t>biomass</w:t>
            </w:r>
          </w:p>
        </w:tc>
        <w:tc>
          <w:tcPr>
            <w:tcW w:w="900" w:type="dxa"/>
            <w:tcMar>
              <w:top w:w="0" w:type="dxa"/>
              <w:left w:w="108" w:type="dxa"/>
              <w:bottom w:w="0" w:type="dxa"/>
              <w:right w:w="108" w:type="dxa"/>
            </w:tcMar>
            <w:hideMark/>
          </w:tcPr>
          <w:p w14:paraId="2B91438B" w14:textId="77777777" w:rsidR="003F6AE4" w:rsidRPr="00524A62" w:rsidRDefault="003F6AE4" w:rsidP="00BC3D63">
            <w:pPr>
              <w:spacing w:after="0"/>
              <w:rPr>
                <w:lang w:val="en-US"/>
              </w:rPr>
            </w:pPr>
            <w:r w:rsidRPr="00524A62">
              <w:rPr>
                <w:lang w:val="en-US"/>
              </w:rPr>
              <w:t>yes</w:t>
            </w:r>
          </w:p>
        </w:tc>
        <w:tc>
          <w:tcPr>
            <w:tcW w:w="1418" w:type="dxa"/>
            <w:tcMar>
              <w:top w:w="0" w:type="dxa"/>
              <w:left w:w="108" w:type="dxa"/>
              <w:bottom w:w="0" w:type="dxa"/>
              <w:right w:w="108" w:type="dxa"/>
            </w:tcMar>
            <w:hideMark/>
          </w:tcPr>
          <w:p w14:paraId="7ED904BB" w14:textId="77777777" w:rsidR="003F6AE4" w:rsidRPr="00524A62" w:rsidRDefault="003F6AE4" w:rsidP="00BC3D63">
            <w:pPr>
              <w:spacing w:after="0"/>
              <w:rPr>
                <w:lang w:val="en-US"/>
              </w:rPr>
            </w:pPr>
            <w:r w:rsidRPr="00524A62">
              <w:rPr>
                <w:lang w:val="en-US"/>
              </w:rPr>
              <w:t>Auction introduced</w:t>
            </w:r>
          </w:p>
        </w:tc>
        <w:tc>
          <w:tcPr>
            <w:tcW w:w="598" w:type="dxa"/>
          </w:tcPr>
          <w:p w14:paraId="49F8125F" w14:textId="172206F9" w:rsidR="003F6AE4" w:rsidRPr="00524A62" w:rsidRDefault="00245F1B" w:rsidP="00BC3D63">
            <w:pPr>
              <w:spacing w:after="0"/>
              <w:rPr>
                <w:lang w:val="en-US"/>
              </w:rPr>
            </w:pPr>
            <w:r w:rsidRPr="00524A62">
              <w:rPr>
                <w:lang w:val="en-US"/>
              </w:rPr>
              <w:t>NA</w:t>
            </w:r>
          </w:p>
        </w:tc>
        <w:tc>
          <w:tcPr>
            <w:tcW w:w="1494" w:type="dxa"/>
            <w:tcMar>
              <w:top w:w="0" w:type="dxa"/>
              <w:left w:w="108" w:type="dxa"/>
              <w:bottom w:w="0" w:type="dxa"/>
              <w:right w:w="108" w:type="dxa"/>
            </w:tcMar>
            <w:hideMark/>
          </w:tcPr>
          <w:p w14:paraId="669786F2" w14:textId="7D8A9EB9" w:rsidR="003F6AE4" w:rsidRPr="00524A62" w:rsidRDefault="003F6AE4" w:rsidP="00BC3D63">
            <w:pPr>
              <w:spacing w:after="0"/>
              <w:rPr>
                <w:lang w:val="en-US"/>
              </w:rPr>
            </w:pPr>
            <w:r w:rsidRPr="00524A62">
              <w:rPr>
                <w:lang w:val="en-US"/>
              </w:rPr>
              <w:t>20 MW</w:t>
            </w:r>
          </w:p>
        </w:tc>
        <w:tc>
          <w:tcPr>
            <w:tcW w:w="1685" w:type="dxa"/>
            <w:tcMar>
              <w:top w:w="0" w:type="dxa"/>
              <w:left w:w="108" w:type="dxa"/>
              <w:bottom w:w="0" w:type="dxa"/>
              <w:right w:w="108" w:type="dxa"/>
            </w:tcMar>
            <w:hideMark/>
          </w:tcPr>
          <w:p w14:paraId="5E20EC6C" w14:textId="77777777" w:rsidR="003F6AE4" w:rsidRPr="00524A62" w:rsidRDefault="003F6AE4" w:rsidP="00BC3D63">
            <w:pPr>
              <w:spacing w:after="0"/>
              <w:rPr>
                <w:lang w:val="en-US"/>
              </w:rPr>
            </w:pPr>
            <w:r w:rsidRPr="00524A62">
              <w:rPr>
                <w:lang w:val="en-US"/>
              </w:rPr>
              <w:t>0 MW</w:t>
            </w:r>
          </w:p>
        </w:tc>
        <w:tc>
          <w:tcPr>
            <w:tcW w:w="2275" w:type="dxa"/>
            <w:tcMar>
              <w:top w:w="0" w:type="dxa"/>
              <w:left w:w="108" w:type="dxa"/>
              <w:bottom w:w="0" w:type="dxa"/>
              <w:right w:w="108" w:type="dxa"/>
            </w:tcMar>
            <w:hideMark/>
          </w:tcPr>
          <w:p w14:paraId="301AC466" w14:textId="77777777" w:rsidR="003F6AE4" w:rsidRPr="00524A62" w:rsidRDefault="003F6AE4" w:rsidP="00BC3D63">
            <w:pPr>
              <w:spacing w:after="0"/>
              <w:rPr>
                <w:lang w:val="en-US"/>
              </w:rPr>
            </w:pPr>
            <w:r w:rsidRPr="00524A62">
              <w:rPr>
                <w:lang w:val="en-US"/>
              </w:rPr>
              <w:t>Auction introduced, no capacity awarded</w:t>
            </w:r>
          </w:p>
        </w:tc>
      </w:tr>
      <w:tr w:rsidR="00245F1B" w:rsidRPr="008D4356" w14:paraId="4E8AA6D3" w14:textId="77777777" w:rsidTr="00BC3D63">
        <w:trPr>
          <w:trHeight w:val="68"/>
        </w:trPr>
        <w:tc>
          <w:tcPr>
            <w:tcW w:w="715" w:type="dxa"/>
            <w:tcMar>
              <w:top w:w="0" w:type="dxa"/>
              <w:left w:w="108" w:type="dxa"/>
              <w:bottom w:w="0" w:type="dxa"/>
              <w:right w:w="108" w:type="dxa"/>
            </w:tcMar>
            <w:hideMark/>
          </w:tcPr>
          <w:p w14:paraId="660B96C6" w14:textId="77777777" w:rsidR="003F6AE4" w:rsidRPr="00524A62" w:rsidRDefault="003F6AE4" w:rsidP="00BC3D63">
            <w:pPr>
              <w:spacing w:after="0"/>
              <w:rPr>
                <w:lang w:val="en-US"/>
              </w:rPr>
            </w:pPr>
            <w:r w:rsidRPr="00524A62">
              <w:rPr>
                <w:lang w:val="en-US"/>
              </w:rPr>
              <w:t>2007</w:t>
            </w:r>
          </w:p>
        </w:tc>
        <w:tc>
          <w:tcPr>
            <w:tcW w:w="900" w:type="dxa"/>
          </w:tcPr>
          <w:p w14:paraId="65A41B25" w14:textId="77777777" w:rsidR="003F6AE4" w:rsidRPr="00524A62" w:rsidRDefault="003F6AE4" w:rsidP="00BC3D63">
            <w:pPr>
              <w:spacing w:after="0"/>
              <w:rPr>
                <w:lang w:val="en-US"/>
              </w:rPr>
            </w:pPr>
            <w:r w:rsidRPr="00524A62">
              <w:rPr>
                <w:lang w:val="en-US"/>
              </w:rPr>
              <w:t>wind</w:t>
            </w:r>
          </w:p>
        </w:tc>
        <w:tc>
          <w:tcPr>
            <w:tcW w:w="900" w:type="dxa"/>
            <w:tcMar>
              <w:top w:w="0" w:type="dxa"/>
              <w:left w:w="108" w:type="dxa"/>
              <w:bottom w:w="0" w:type="dxa"/>
              <w:right w:w="108" w:type="dxa"/>
            </w:tcMar>
            <w:hideMark/>
          </w:tcPr>
          <w:p w14:paraId="63B245E3" w14:textId="77777777" w:rsidR="003F6AE4" w:rsidRPr="00524A62" w:rsidRDefault="003F6AE4" w:rsidP="00BC3D63">
            <w:pPr>
              <w:spacing w:after="0"/>
              <w:rPr>
                <w:lang w:val="en-US"/>
              </w:rPr>
            </w:pPr>
            <w:r w:rsidRPr="00524A62">
              <w:rPr>
                <w:lang w:val="en-US"/>
              </w:rPr>
              <w:t>yes</w:t>
            </w:r>
          </w:p>
        </w:tc>
        <w:tc>
          <w:tcPr>
            <w:tcW w:w="1418" w:type="dxa"/>
            <w:tcMar>
              <w:top w:w="0" w:type="dxa"/>
              <w:left w:w="108" w:type="dxa"/>
              <w:bottom w:w="0" w:type="dxa"/>
              <w:right w:w="108" w:type="dxa"/>
            </w:tcMar>
            <w:hideMark/>
          </w:tcPr>
          <w:p w14:paraId="49300170" w14:textId="77777777" w:rsidR="003F6AE4" w:rsidRPr="00524A62" w:rsidRDefault="003F6AE4" w:rsidP="00BC3D63">
            <w:pPr>
              <w:spacing w:after="0"/>
              <w:rPr>
                <w:lang w:val="en-US"/>
              </w:rPr>
            </w:pPr>
            <w:r w:rsidRPr="00524A62">
              <w:rPr>
                <w:lang w:val="en-US"/>
              </w:rPr>
              <w:t>Auction prolonged and design changed</w:t>
            </w:r>
          </w:p>
        </w:tc>
        <w:tc>
          <w:tcPr>
            <w:tcW w:w="598" w:type="dxa"/>
          </w:tcPr>
          <w:p w14:paraId="2153A236" w14:textId="2D765287" w:rsidR="003F6AE4" w:rsidRPr="00524A62" w:rsidRDefault="00245F1B" w:rsidP="00BC3D63">
            <w:pPr>
              <w:spacing w:after="0"/>
              <w:rPr>
                <w:lang w:val="en-US"/>
              </w:rPr>
            </w:pPr>
            <w:r w:rsidRPr="00524A62">
              <w:rPr>
                <w:lang w:val="en-US"/>
              </w:rPr>
              <w:t>NA</w:t>
            </w:r>
          </w:p>
        </w:tc>
        <w:tc>
          <w:tcPr>
            <w:tcW w:w="1494" w:type="dxa"/>
            <w:tcMar>
              <w:top w:w="0" w:type="dxa"/>
              <w:left w:w="108" w:type="dxa"/>
              <w:bottom w:w="0" w:type="dxa"/>
              <w:right w:w="108" w:type="dxa"/>
            </w:tcMar>
            <w:hideMark/>
          </w:tcPr>
          <w:p w14:paraId="51B3F5B6" w14:textId="4CE5A765" w:rsidR="003F6AE4" w:rsidRPr="00524A62" w:rsidRDefault="003F6AE4" w:rsidP="00BC3D63">
            <w:pPr>
              <w:spacing w:after="0"/>
              <w:rPr>
                <w:lang w:val="en-US"/>
              </w:rPr>
            </w:pPr>
            <w:r w:rsidRPr="00524A62">
              <w:rPr>
                <w:lang w:val="en-US"/>
              </w:rPr>
              <w:t>20 MW</w:t>
            </w:r>
          </w:p>
        </w:tc>
        <w:tc>
          <w:tcPr>
            <w:tcW w:w="1685" w:type="dxa"/>
            <w:tcMar>
              <w:top w:w="0" w:type="dxa"/>
              <w:left w:w="108" w:type="dxa"/>
              <w:bottom w:w="0" w:type="dxa"/>
              <w:right w:w="108" w:type="dxa"/>
            </w:tcMar>
            <w:hideMark/>
          </w:tcPr>
          <w:p w14:paraId="7FE620A7" w14:textId="77777777" w:rsidR="003F6AE4" w:rsidRPr="00524A62" w:rsidRDefault="003F6AE4" w:rsidP="00BC3D63">
            <w:pPr>
              <w:spacing w:after="0"/>
              <w:rPr>
                <w:lang w:val="en-US"/>
              </w:rPr>
            </w:pPr>
            <w:r w:rsidRPr="00524A62">
              <w:rPr>
                <w:lang w:val="en-US"/>
              </w:rPr>
              <w:t>0 MW</w:t>
            </w:r>
          </w:p>
        </w:tc>
        <w:tc>
          <w:tcPr>
            <w:tcW w:w="2275" w:type="dxa"/>
            <w:tcMar>
              <w:top w:w="0" w:type="dxa"/>
              <w:left w:w="108" w:type="dxa"/>
              <w:bottom w:w="0" w:type="dxa"/>
              <w:right w:w="108" w:type="dxa"/>
            </w:tcMar>
            <w:hideMark/>
          </w:tcPr>
          <w:p w14:paraId="3A7FA932" w14:textId="77777777" w:rsidR="003F6AE4" w:rsidRPr="00524A62" w:rsidRDefault="003F6AE4" w:rsidP="00BC3D63">
            <w:pPr>
              <w:spacing w:after="0"/>
              <w:rPr>
                <w:lang w:val="en-US"/>
              </w:rPr>
            </w:pPr>
            <w:r w:rsidRPr="00524A62">
              <w:rPr>
                <w:lang w:val="en-US"/>
              </w:rPr>
              <w:t>Auction prolonged, design changed, capacity reallocated to wind</w:t>
            </w:r>
          </w:p>
        </w:tc>
      </w:tr>
      <w:tr w:rsidR="00245F1B" w:rsidRPr="008D4356" w14:paraId="0BB6A5C5" w14:textId="77777777" w:rsidTr="00BC3D63">
        <w:trPr>
          <w:trHeight w:val="32"/>
        </w:trPr>
        <w:tc>
          <w:tcPr>
            <w:tcW w:w="715" w:type="dxa"/>
            <w:tcMar>
              <w:top w:w="0" w:type="dxa"/>
              <w:left w:w="108" w:type="dxa"/>
              <w:bottom w:w="0" w:type="dxa"/>
              <w:right w:w="108" w:type="dxa"/>
            </w:tcMar>
            <w:hideMark/>
          </w:tcPr>
          <w:p w14:paraId="382EC751" w14:textId="77777777" w:rsidR="003F6AE4" w:rsidRPr="00524A62" w:rsidRDefault="003F6AE4" w:rsidP="00BC3D63">
            <w:pPr>
              <w:spacing w:after="0"/>
              <w:rPr>
                <w:lang w:val="en-US"/>
              </w:rPr>
            </w:pPr>
            <w:r w:rsidRPr="00524A62">
              <w:rPr>
                <w:lang w:val="en-US"/>
              </w:rPr>
              <w:t>2008</w:t>
            </w:r>
          </w:p>
        </w:tc>
        <w:tc>
          <w:tcPr>
            <w:tcW w:w="900" w:type="dxa"/>
          </w:tcPr>
          <w:p w14:paraId="75A14005" w14:textId="77777777" w:rsidR="003F6AE4" w:rsidRPr="00524A62" w:rsidRDefault="003F6AE4" w:rsidP="00BC3D63">
            <w:pPr>
              <w:spacing w:after="0"/>
              <w:rPr>
                <w:lang w:val="en-US"/>
              </w:rPr>
            </w:pPr>
            <w:r w:rsidRPr="00524A62">
              <w:rPr>
                <w:lang w:val="en-US"/>
              </w:rPr>
              <w:t>wind</w:t>
            </w:r>
          </w:p>
        </w:tc>
        <w:tc>
          <w:tcPr>
            <w:tcW w:w="900" w:type="dxa"/>
            <w:tcMar>
              <w:top w:w="0" w:type="dxa"/>
              <w:left w:w="108" w:type="dxa"/>
              <w:bottom w:w="0" w:type="dxa"/>
              <w:right w:w="108" w:type="dxa"/>
            </w:tcMar>
            <w:hideMark/>
          </w:tcPr>
          <w:p w14:paraId="4621F89A" w14:textId="77777777" w:rsidR="003F6AE4" w:rsidRPr="00524A62" w:rsidRDefault="003F6AE4" w:rsidP="00BC3D63">
            <w:pPr>
              <w:spacing w:after="0"/>
              <w:rPr>
                <w:lang w:val="en-US"/>
              </w:rPr>
            </w:pPr>
            <w:r w:rsidRPr="00524A62">
              <w:rPr>
                <w:lang w:val="en-US"/>
              </w:rPr>
              <w:t>No</w:t>
            </w:r>
          </w:p>
        </w:tc>
        <w:tc>
          <w:tcPr>
            <w:tcW w:w="1418" w:type="dxa"/>
            <w:tcMar>
              <w:top w:w="0" w:type="dxa"/>
              <w:left w:w="108" w:type="dxa"/>
              <w:bottom w:w="0" w:type="dxa"/>
              <w:right w:w="108" w:type="dxa"/>
            </w:tcMar>
            <w:hideMark/>
          </w:tcPr>
          <w:p w14:paraId="204AFE4B" w14:textId="77777777" w:rsidR="003F6AE4" w:rsidRPr="00524A62" w:rsidRDefault="003F6AE4" w:rsidP="00BC3D63">
            <w:pPr>
              <w:spacing w:after="0"/>
              <w:rPr>
                <w:lang w:val="en-US"/>
              </w:rPr>
            </w:pPr>
            <w:r w:rsidRPr="00524A62">
              <w:rPr>
                <w:lang w:val="en-US"/>
              </w:rPr>
              <w:t>Auction concluded, contracts awarded</w:t>
            </w:r>
          </w:p>
        </w:tc>
        <w:tc>
          <w:tcPr>
            <w:tcW w:w="598" w:type="dxa"/>
          </w:tcPr>
          <w:p w14:paraId="5423206B" w14:textId="4C3FD655" w:rsidR="003F6AE4" w:rsidRPr="00524A62" w:rsidRDefault="00245F1B" w:rsidP="00BC3D63">
            <w:pPr>
              <w:spacing w:after="0"/>
              <w:rPr>
                <w:lang w:val="en-US"/>
              </w:rPr>
            </w:pPr>
            <w:r w:rsidRPr="00524A62">
              <w:rPr>
                <w:lang w:val="en-US"/>
              </w:rPr>
              <w:t>0.12 EUR</w:t>
            </w:r>
          </w:p>
        </w:tc>
        <w:tc>
          <w:tcPr>
            <w:tcW w:w="1494" w:type="dxa"/>
            <w:tcMar>
              <w:top w:w="0" w:type="dxa"/>
              <w:left w:w="108" w:type="dxa"/>
              <w:bottom w:w="0" w:type="dxa"/>
              <w:right w:w="108" w:type="dxa"/>
            </w:tcMar>
            <w:hideMark/>
          </w:tcPr>
          <w:p w14:paraId="780A4E9F" w14:textId="2082C743" w:rsidR="003F6AE4" w:rsidRPr="00524A62" w:rsidRDefault="003F6AE4" w:rsidP="00BC3D63">
            <w:pPr>
              <w:spacing w:after="0"/>
              <w:rPr>
                <w:lang w:val="en-US"/>
              </w:rPr>
            </w:pPr>
            <w:r w:rsidRPr="00524A62">
              <w:rPr>
                <w:lang w:val="en-US"/>
              </w:rPr>
              <w:t>20 MW</w:t>
            </w:r>
          </w:p>
        </w:tc>
        <w:tc>
          <w:tcPr>
            <w:tcW w:w="1685" w:type="dxa"/>
            <w:tcMar>
              <w:top w:w="0" w:type="dxa"/>
              <w:left w:w="108" w:type="dxa"/>
              <w:bottom w:w="0" w:type="dxa"/>
              <w:right w:w="108" w:type="dxa"/>
            </w:tcMar>
            <w:hideMark/>
          </w:tcPr>
          <w:p w14:paraId="3E771FA0" w14:textId="77777777" w:rsidR="003F6AE4" w:rsidRPr="00524A62" w:rsidRDefault="003F6AE4" w:rsidP="00BC3D63">
            <w:pPr>
              <w:spacing w:after="0"/>
              <w:rPr>
                <w:lang w:val="en-US"/>
              </w:rPr>
            </w:pPr>
            <w:r w:rsidRPr="00524A62">
              <w:rPr>
                <w:lang w:val="en-US"/>
              </w:rPr>
              <w:t>20 MW</w:t>
            </w:r>
          </w:p>
        </w:tc>
        <w:tc>
          <w:tcPr>
            <w:tcW w:w="2275" w:type="dxa"/>
            <w:tcMar>
              <w:top w:w="0" w:type="dxa"/>
              <w:left w:w="108" w:type="dxa"/>
              <w:bottom w:w="0" w:type="dxa"/>
              <w:right w:w="108" w:type="dxa"/>
            </w:tcMar>
            <w:hideMark/>
          </w:tcPr>
          <w:p w14:paraId="7B050C52" w14:textId="77777777" w:rsidR="003F6AE4" w:rsidRPr="00524A62" w:rsidRDefault="003F6AE4" w:rsidP="00BC3D63">
            <w:pPr>
              <w:spacing w:after="0"/>
              <w:rPr>
                <w:lang w:val="en-US"/>
              </w:rPr>
            </w:pPr>
            <w:r w:rsidRPr="00524A62">
              <w:rPr>
                <w:lang w:val="en-US"/>
              </w:rPr>
              <w:t>Auction concluded, same volume as 2008 but with changed design as in 2007, successfully awarded</w:t>
            </w:r>
          </w:p>
        </w:tc>
      </w:tr>
    </w:tbl>
    <w:p w14:paraId="2E6C1A31" w14:textId="79023355" w:rsidR="00806E9A" w:rsidRPr="00524A62" w:rsidRDefault="00806E9A" w:rsidP="0049018D">
      <w:pPr>
        <w:rPr>
          <w:rFonts w:cstheme="minorHAnsi"/>
          <w:lang w:val="en-US"/>
        </w:rPr>
      </w:pPr>
    </w:p>
    <w:p w14:paraId="64A595BA" w14:textId="580C51CF" w:rsidR="00806E9A" w:rsidRPr="00524A62" w:rsidRDefault="00750553" w:rsidP="0049018D">
      <w:pPr>
        <w:rPr>
          <w:rFonts w:cstheme="minorHAnsi"/>
          <w:lang w:val="en-US"/>
        </w:rPr>
      </w:pPr>
      <w:r w:rsidRPr="00524A62">
        <w:rPr>
          <w:rFonts w:cstheme="minorHAnsi"/>
          <w:lang w:val="en-US"/>
        </w:rPr>
        <w:t xml:space="preserve">Therefore, </w:t>
      </w:r>
      <w:r w:rsidRPr="00524A62">
        <w:rPr>
          <w:rFonts w:cstheme="minorHAnsi"/>
          <w:b/>
          <w:bCs/>
          <w:lang w:val="en-US"/>
        </w:rPr>
        <w:t>users must be careful when summing auction data:</w:t>
      </w:r>
      <w:r w:rsidRPr="00524A62">
        <w:rPr>
          <w:rFonts w:cstheme="minorHAnsi"/>
          <w:lang w:val="en-US"/>
        </w:rPr>
        <w:t xml:space="preserve"> users should NOT simply estimate auctioned capacity by </w:t>
      </w:r>
      <w:r w:rsidR="00437F3F" w:rsidRPr="00524A62">
        <w:rPr>
          <w:rFonts w:cstheme="minorHAnsi"/>
          <w:lang w:val="en-US"/>
        </w:rPr>
        <w:t>adding the amount_tendered together by country, because in this case it would look like the country had 80 MW, when in reality it was the same 20 MW tender</w:t>
      </w:r>
      <w:r w:rsidR="00215BDA" w:rsidRPr="00524A62">
        <w:rPr>
          <w:rFonts w:cstheme="minorHAnsi"/>
          <w:lang w:val="en-US"/>
        </w:rPr>
        <w:t xml:space="preserve"> repeated </w:t>
      </w:r>
      <w:r w:rsidR="00215BDA" w:rsidRPr="00524A62">
        <w:rPr>
          <w:rFonts w:cstheme="minorHAnsi"/>
          <w:lang w:val="en-US"/>
        </w:rPr>
        <w:lastRenderedPageBreak/>
        <w:t>three times</w:t>
      </w:r>
      <w:r w:rsidR="00437F3F" w:rsidRPr="00524A62">
        <w:rPr>
          <w:rFonts w:cstheme="minorHAnsi"/>
          <w:lang w:val="en-US"/>
        </w:rPr>
        <w:t xml:space="preserve">. Users should filter for cases where the amount tendered is greater than zero before summing data. </w:t>
      </w:r>
    </w:p>
    <w:p w14:paraId="00AE57DE" w14:textId="2DD2AE50" w:rsidR="001517A7" w:rsidRPr="00524A62" w:rsidRDefault="007B3F82" w:rsidP="001517A7">
      <w:pPr>
        <w:rPr>
          <w:rFonts w:cstheme="minorHAnsi"/>
          <w:b/>
          <w:bCs/>
          <w:lang w:val="en-US"/>
        </w:rPr>
      </w:pPr>
      <w:r w:rsidRPr="00524A62">
        <w:rPr>
          <w:rFonts w:cstheme="minorHAnsi"/>
          <w:b/>
          <w:bCs/>
          <w:lang w:val="en-US"/>
        </w:rPr>
        <w:t xml:space="preserve">Additional points: </w:t>
      </w:r>
    </w:p>
    <w:p w14:paraId="7028EB56" w14:textId="5CCB73C4" w:rsidR="0049018D" w:rsidRPr="00524A62" w:rsidRDefault="0049018D" w:rsidP="0049018D">
      <w:pPr>
        <w:pStyle w:val="ListParagraph"/>
        <w:numPr>
          <w:ilvl w:val="0"/>
          <w:numId w:val="2"/>
        </w:numPr>
        <w:rPr>
          <w:rFonts w:cstheme="minorHAnsi"/>
          <w:lang w:val="en-US"/>
        </w:rPr>
      </w:pPr>
      <w:r w:rsidRPr="00524A62">
        <w:rPr>
          <w:rFonts w:cstheme="minorHAnsi"/>
          <w:b/>
          <w:bCs/>
          <w:lang w:val="en-US"/>
        </w:rPr>
        <w:t>Regional differentiation</w:t>
      </w:r>
      <w:r w:rsidRPr="00524A62">
        <w:rPr>
          <w:rFonts w:cstheme="minorHAnsi"/>
          <w:lang w:val="en-US"/>
        </w:rPr>
        <w:t>: when there are different levels of support in certain regions (</w:t>
      </w:r>
      <w:r w:rsidR="001D04BF" w:rsidRPr="00524A62">
        <w:rPr>
          <w:rFonts w:cstheme="minorHAnsi"/>
          <w:lang w:val="en-US"/>
        </w:rPr>
        <w:t>e.g.,</w:t>
      </w:r>
      <w:r w:rsidRPr="00524A62">
        <w:rPr>
          <w:rFonts w:cstheme="minorHAnsi"/>
          <w:lang w:val="en-US"/>
        </w:rPr>
        <w:t xml:space="preserve"> northern vs southern Germany), we record the average level of these regional rates. </w:t>
      </w:r>
    </w:p>
    <w:p w14:paraId="6CD92CDD" w14:textId="36B32C58" w:rsidR="0049018D" w:rsidRPr="00524A62" w:rsidRDefault="0049018D" w:rsidP="0049018D">
      <w:pPr>
        <w:pStyle w:val="ListParagraph"/>
        <w:numPr>
          <w:ilvl w:val="0"/>
          <w:numId w:val="2"/>
        </w:numPr>
        <w:rPr>
          <w:rFonts w:cstheme="minorHAnsi"/>
          <w:lang w:val="en-US"/>
        </w:rPr>
      </w:pPr>
      <w:r w:rsidRPr="00524A62">
        <w:rPr>
          <w:rFonts w:cstheme="minorHAnsi"/>
          <w:b/>
          <w:bCs/>
          <w:lang w:val="en-US"/>
        </w:rPr>
        <w:t>Actor differentiation</w:t>
      </w:r>
      <w:r w:rsidRPr="00524A62">
        <w:rPr>
          <w:rFonts w:cstheme="minorHAnsi"/>
          <w:lang w:val="en-US"/>
        </w:rPr>
        <w:t xml:space="preserve">: when there are different average rates for actors </w:t>
      </w:r>
      <w:r w:rsidR="002F5946" w:rsidRPr="00524A62">
        <w:rPr>
          <w:rFonts w:cstheme="minorHAnsi"/>
          <w:lang w:val="en-US"/>
        </w:rPr>
        <w:t>awarded capacities in a</w:t>
      </w:r>
      <w:r w:rsidR="00687FE5" w:rsidRPr="00524A62">
        <w:rPr>
          <w:rFonts w:cstheme="minorHAnsi"/>
          <w:lang w:val="en-US"/>
        </w:rPr>
        <w:t xml:space="preserve"> single</w:t>
      </w:r>
      <w:r w:rsidRPr="00524A62">
        <w:rPr>
          <w:rFonts w:cstheme="minorHAnsi"/>
          <w:lang w:val="en-US"/>
        </w:rPr>
        <w:t xml:space="preserve"> auction (</w:t>
      </w:r>
      <w:r w:rsidR="001D04BF" w:rsidRPr="00524A62">
        <w:rPr>
          <w:rFonts w:cstheme="minorHAnsi"/>
          <w:lang w:val="en-US"/>
        </w:rPr>
        <w:t>e.g.,</w:t>
      </w:r>
      <w:r w:rsidRPr="00524A62">
        <w:rPr>
          <w:rFonts w:cstheme="minorHAnsi"/>
          <w:lang w:val="en-US"/>
        </w:rPr>
        <w:t xml:space="preserve"> community wind vs commercial wind), we record the overall tender average.</w:t>
      </w:r>
    </w:p>
    <w:p w14:paraId="629B0668" w14:textId="77777777" w:rsidR="0049018D" w:rsidRPr="00524A62" w:rsidRDefault="0049018D" w:rsidP="0049018D">
      <w:pPr>
        <w:pStyle w:val="ListParagraph"/>
        <w:numPr>
          <w:ilvl w:val="0"/>
          <w:numId w:val="2"/>
        </w:numPr>
        <w:rPr>
          <w:rFonts w:cstheme="minorHAnsi"/>
          <w:lang w:val="en-US"/>
        </w:rPr>
      </w:pPr>
      <w:r w:rsidRPr="00524A62">
        <w:rPr>
          <w:rFonts w:cstheme="minorHAnsi"/>
          <w:b/>
          <w:bCs/>
          <w:lang w:val="en-US"/>
        </w:rPr>
        <w:t xml:space="preserve">Installation age differentiation: </w:t>
      </w:r>
      <w:r w:rsidRPr="00524A62">
        <w:rPr>
          <w:rFonts w:cstheme="minorHAnsi"/>
          <w:lang w:val="en-US"/>
        </w:rPr>
        <w:t>when there are different caps or prices depending on installation age, we proceed as follows:</w:t>
      </w:r>
    </w:p>
    <w:p w14:paraId="7051A1D0" w14:textId="77777777" w:rsidR="0049018D" w:rsidRPr="00524A62" w:rsidRDefault="0049018D" w:rsidP="0049018D">
      <w:pPr>
        <w:pStyle w:val="ListParagraph"/>
        <w:numPr>
          <w:ilvl w:val="1"/>
          <w:numId w:val="2"/>
        </w:numPr>
        <w:rPr>
          <w:rFonts w:cstheme="minorHAnsi"/>
          <w:lang w:val="en-US"/>
        </w:rPr>
      </w:pPr>
      <w:r w:rsidRPr="00524A62">
        <w:rPr>
          <w:rFonts w:cstheme="minorHAnsi"/>
          <w:b/>
          <w:bCs/>
          <w:lang w:val="en-US"/>
        </w:rPr>
        <w:t>Bioenergy</w:t>
      </w:r>
      <w:r w:rsidRPr="00524A62">
        <w:rPr>
          <w:rFonts w:cstheme="minorHAnsi"/>
          <w:lang w:val="en-US"/>
        </w:rPr>
        <w:t xml:space="preserve">: in Germany, there are different prices and caps for older versus new biomass installations. So far, Germany has only awarded capacities to these older installations, so we only record the support level for older installations. If there are cases in the future where support is awarded to both older and newer installations, we will continue to record only the support level for older installations </w:t>
      </w:r>
      <w:r w:rsidRPr="00524A62">
        <w:rPr>
          <w:rFonts w:cstheme="minorHAnsi"/>
          <w:lang w:val="en-US" w:eastAsia="en-IN"/>
        </w:rPr>
        <w:t>to ensure this is comparable with previous observations.</w:t>
      </w:r>
    </w:p>
    <w:p w14:paraId="63B38678" w14:textId="6E932A28" w:rsidR="00BB7C30" w:rsidRPr="00524A62" w:rsidRDefault="0049018D" w:rsidP="00BB7C30">
      <w:pPr>
        <w:pStyle w:val="ListParagraph"/>
        <w:numPr>
          <w:ilvl w:val="1"/>
          <w:numId w:val="2"/>
        </w:numPr>
        <w:rPr>
          <w:rFonts w:cstheme="minorHAnsi"/>
          <w:lang w:val="en-US"/>
        </w:rPr>
      </w:pPr>
      <w:r w:rsidRPr="00524A62">
        <w:rPr>
          <w:rFonts w:cstheme="minorHAnsi"/>
          <w:b/>
          <w:bCs/>
          <w:lang w:val="en-US"/>
        </w:rPr>
        <w:t>Onshore wind repowering</w:t>
      </w:r>
      <w:r w:rsidRPr="00524A62">
        <w:rPr>
          <w:rFonts w:cstheme="minorHAnsi"/>
          <w:lang w:val="en-US"/>
        </w:rPr>
        <w:t xml:space="preserve">: in some countries, there are different support levels repowering versus other onshore wind (for example in Italy, from 2020 onwards). However, only new capacity has been awarded support. We therefore record only auction results for new capacity. If there are </w:t>
      </w:r>
      <w:r w:rsidRPr="00524A62">
        <w:rPr>
          <w:rFonts w:cstheme="minorHAnsi"/>
          <w:lang w:val="en-US" w:eastAsia="en-IN"/>
        </w:rPr>
        <w:t>cases where both repowered and new auctions are awarded for onshore wind, we will continue to take the support levels and conditions for new-build onshore wind to ensure this is comparable with previous observations.</w:t>
      </w:r>
    </w:p>
    <w:p w14:paraId="59C31F97" w14:textId="02C55B93" w:rsidR="00D5400B" w:rsidRPr="00524A62" w:rsidRDefault="00D61A07" w:rsidP="00D5400B">
      <w:pPr>
        <w:pStyle w:val="ListParagraph"/>
        <w:numPr>
          <w:ilvl w:val="0"/>
          <w:numId w:val="2"/>
        </w:numPr>
        <w:rPr>
          <w:rFonts w:cstheme="minorHAnsi"/>
          <w:lang w:val="en-US"/>
        </w:rPr>
      </w:pPr>
      <w:r w:rsidRPr="00524A62">
        <w:rPr>
          <w:b/>
          <w:bCs/>
          <w:lang w:val="en-US"/>
        </w:rPr>
        <w:t xml:space="preserve">Location-specific auctions: </w:t>
      </w:r>
      <w:r w:rsidRPr="00524A62">
        <w:rPr>
          <w:lang w:val="en-US"/>
        </w:rPr>
        <w:t>In the case of tenders for areas of land that are to be auctioned for specific wind projects, these are recorded under ‘tenders’ as they are still awarded through an auctioning process, rather than a non-competitive awarding procedure.</w:t>
      </w:r>
    </w:p>
    <w:p w14:paraId="1B4FDBBE" w14:textId="052389D9" w:rsidR="0049018D" w:rsidRPr="00524A62" w:rsidRDefault="0049018D" w:rsidP="0080659D">
      <w:pPr>
        <w:pStyle w:val="Heading3"/>
        <w:numPr>
          <w:ilvl w:val="0"/>
          <w:numId w:val="22"/>
        </w:numPr>
        <w:spacing w:before="40" w:after="60"/>
        <w:ind w:left="714" w:hanging="357"/>
        <w:rPr>
          <w:rFonts w:asciiTheme="majorHAnsi" w:hAnsiTheme="majorHAnsi" w:cstheme="majorHAnsi"/>
          <w:color w:val="387782" w:themeColor="accent1" w:themeShade="BF"/>
          <w:sz w:val="24"/>
          <w:szCs w:val="24"/>
          <w:lang w:val="en-US"/>
        </w:rPr>
      </w:pPr>
      <w:bookmarkStart w:id="33" w:name="_Toc219972881"/>
      <w:r w:rsidRPr="00524A62">
        <w:rPr>
          <w:rFonts w:asciiTheme="majorHAnsi" w:hAnsiTheme="majorHAnsi" w:cstheme="majorHAnsi"/>
          <w:color w:val="387782" w:themeColor="accent1" w:themeShade="BF"/>
          <w:sz w:val="24"/>
          <w:szCs w:val="24"/>
          <w:lang w:val="en-US"/>
        </w:rPr>
        <w:t>Soft loans</w:t>
      </w:r>
      <w:bookmarkEnd w:id="33"/>
    </w:p>
    <w:p w14:paraId="61ADD2CD" w14:textId="144D9978" w:rsidR="0049018D" w:rsidRPr="00524A62" w:rsidRDefault="0049018D" w:rsidP="0049018D">
      <w:pPr>
        <w:rPr>
          <w:rFonts w:eastAsia="Times New Roman" w:cstheme="minorHAnsi"/>
          <w:color w:val="000000"/>
          <w:lang w:val="en-US" w:eastAsia="en-IN"/>
        </w:rPr>
      </w:pPr>
      <w:r w:rsidRPr="00524A62">
        <w:rPr>
          <w:rFonts w:cstheme="minorHAnsi"/>
          <w:lang w:val="en-US"/>
        </w:rPr>
        <w:t>With soft loans, the government (or other government body) provides loans for renewable power projects at preferential conditions. In most cases, this is a lower interest rate than the market would provide, so as to lower the financing costs of new projects. The number of years refers to the maximum length of the loan rather than their actual duration</w:t>
      </w:r>
      <w:r w:rsidR="004156E7" w:rsidRPr="00524A62">
        <w:rPr>
          <w:rFonts w:cstheme="minorHAnsi"/>
          <w:lang w:val="en-US"/>
        </w:rPr>
        <w:t xml:space="preserve"> and is recorded in support_duration.</w:t>
      </w:r>
    </w:p>
    <w:p w14:paraId="647CE6F3" w14:textId="614F8589" w:rsidR="0049018D" w:rsidRPr="00CB5216" w:rsidRDefault="00CB5216" w:rsidP="00CB5216">
      <w:pPr>
        <w:pStyle w:val="Caption"/>
        <w:rPr>
          <w:rFonts w:cstheme="minorHAnsi"/>
          <w:lang w:val="en-US" w:eastAsia="en-IN"/>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sidR="009271D9">
        <w:rPr>
          <w:noProof/>
          <w:lang w:val="en-US"/>
        </w:rPr>
        <w:t>23</w:t>
      </w:r>
      <w:r w:rsidRPr="00551268">
        <w:rPr>
          <w:noProof/>
          <w:lang w:val="en-US"/>
        </w:rPr>
        <w:fldChar w:fldCharType="end"/>
      </w:r>
      <w:r w:rsidRPr="00551268">
        <w:rPr>
          <w:lang w:val="en-US"/>
        </w:rPr>
        <w:t xml:space="preserve">: </w:t>
      </w:r>
      <w:r>
        <w:rPr>
          <w:lang w:val="en-US"/>
        </w:rPr>
        <w:t>Variables that only apply to soft loans</w:t>
      </w:r>
    </w:p>
    <w:tbl>
      <w:tblPr>
        <w:tblStyle w:val="TableGrid"/>
        <w:tblW w:w="0" w:type="auto"/>
        <w:tblLook w:val="04A0" w:firstRow="1" w:lastRow="0" w:firstColumn="1" w:lastColumn="0" w:noHBand="0" w:noVBand="1"/>
      </w:tblPr>
      <w:tblGrid>
        <w:gridCol w:w="1975"/>
        <w:gridCol w:w="4050"/>
        <w:gridCol w:w="2755"/>
      </w:tblGrid>
      <w:tr w:rsidR="0049018D" w:rsidRPr="00524A62" w14:paraId="461FD268" w14:textId="77777777" w:rsidTr="0005606D">
        <w:trPr>
          <w:trHeight w:val="189"/>
        </w:trPr>
        <w:tc>
          <w:tcPr>
            <w:tcW w:w="1975" w:type="dxa"/>
          </w:tcPr>
          <w:p w14:paraId="26B4E85F" w14:textId="77777777" w:rsidR="0049018D" w:rsidRPr="00524A62" w:rsidRDefault="0049018D" w:rsidP="0005606D">
            <w:pPr>
              <w:rPr>
                <w:rFonts w:cstheme="minorHAnsi"/>
                <w:lang w:val="en-US"/>
              </w:rPr>
            </w:pPr>
            <w:r w:rsidRPr="00524A62">
              <w:rPr>
                <w:rFonts w:cstheme="minorHAnsi"/>
                <w:b/>
                <w:bCs/>
                <w:lang w:val="en-US" w:eastAsia="en-IN"/>
              </w:rPr>
              <w:t>Variable name</w:t>
            </w:r>
          </w:p>
        </w:tc>
        <w:tc>
          <w:tcPr>
            <w:tcW w:w="4050" w:type="dxa"/>
          </w:tcPr>
          <w:p w14:paraId="0543542A" w14:textId="77777777" w:rsidR="0049018D" w:rsidRPr="00524A62" w:rsidRDefault="0049018D" w:rsidP="0005606D">
            <w:pPr>
              <w:rPr>
                <w:rFonts w:cstheme="minorHAnsi"/>
                <w:lang w:val="en-US"/>
              </w:rPr>
            </w:pPr>
            <w:r w:rsidRPr="00524A62">
              <w:rPr>
                <w:rFonts w:cstheme="minorHAnsi"/>
                <w:b/>
                <w:bCs/>
                <w:lang w:val="en-US" w:eastAsia="en-IN"/>
              </w:rPr>
              <w:t>Description</w:t>
            </w:r>
          </w:p>
        </w:tc>
        <w:tc>
          <w:tcPr>
            <w:tcW w:w="2755" w:type="dxa"/>
          </w:tcPr>
          <w:p w14:paraId="030085F6" w14:textId="77777777" w:rsidR="0049018D" w:rsidRPr="00524A62" w:rsidRDefault="0049018D" w:rsidP="0005606D">
            <w:pPr>
              <w:rPr>
                <w:rFonts w:cstheme="minorHAnsi"/>
                <w:lang w:val="en-US"/>
              </w:rPr>
            </w:pPr>
            <w:r w:rsidRPr="00524A62">
              <w:rPr>
                <w:rFonts w:cstheme="minorHAnsi"/>
                <w:b/>
                <w:bCs/>
                <w:lang w:val="en-US" w:eastAsia="en-IN"/>
              </w:rPr>
              <w:t>Values</w:t>
            </w:r>
          </w:p>
        </w:tc>
      </w:tr>
      <w:tr w:rsidR="0049018D" w:rsidRPr="00524A62" w14:paraId="043D4677" w14:textId="77777777" w:rsidTr="0005606D">
        <w:trPr>
          <w:trHeight w:val="189"/>
        </w:trPr>
        <w:tc>
          <w:tcPr>
            <w:tcW w:w="1975" w:type="dxa"/>
          </w:tcPr>
          <w:p w14:paraId="4DD7C7C9" w14:textId="77777777" w:rsidR="0049018D" w:rsidRPr="00524A62" w:rsidRDefault="0049018D" w:rsidP="0005606D">
            <w:pPr>
              <w:rPr>
                <w:rFonts w:cstheme="minorHAnsi"/>
                <w:lang w:val="en-US"/>
              </w:rPr>
            </w:pPr>
            <w:r w:rsidRPr="00524A62">
              <w:rPr>
                <w:rFonts w:cstheme="minorHAnsi"/>
                <w:lang w:val="en-US"/>
              </w:rPr>
              <w:t>loan_interest_rate</w:t>
            </w:r>
          </w:p>
        </w:tc>
        <w:tc>
          <w:tcPr>
            <w:tcW w:w="4050" w:type="dxa"/>
          </w:tcPr>
          <w:p w14:paraId="6A1838FE" w14:textId="77777777" w:rsidR="0049018D" w:rsidRPr="00524A62" w:rsidRDefault="0049018D" w:rsidP="0005606D">
            <w:pPr>
              <w:rPr>
                <w:rFonts w:cstheme="minorHAnsi"/>
                <w:lang w:val="en-US"/>
              </w:rPr>
            </w:pPr>
            <w:r w:rsidRPr="00524A62">
              <w:rPr>
                <w:rFonts w:cstheme="minorHAnsi"/>
                <w:lang w:val="en-US"/>
              </w:rPr>
              <w:t>The interest rate for the loan</w:t>
            </w:r>
          </w:p>
        </w:tc>
        <w:tc>
          <w:tcPr>
            <w:tcW w:w="2755" w:type="dxa"/>
          </w:tcPr>
          <w:p w14:paraId="3E4F5359" w14:textId="77777777" w:rsidR="0049018D" w:rsidRPr="00524A62" w:rsidRDefault="0049018D" w:rsidP="0005606D">
            <w:pPr>
              <w:rPr>
                <w:rFonts w:cstheme="minorHAnsi"/>
                <w:lang w:val="en-US"/>
              </w:rPr>
            </w:pPr>
            <w:r w:rsidRPr="00524A62">
              <w:rPr>
                <w:rFonts w:cstheme="minorHAnsi"/>
                <w:lang w:val="en-US"/>
              </w:rPr>
              <w:t>Numeric</w:t>
            </w:r>
          </w:p>
        </w:tc>
      </w:tr>
    </w:tbl>
    <w:p w14:paraId="30FDB09B" w14:textId="77777777" w:rsidR="0049018D" w:rsidRPr="00524A62" w:rsidRDefault="0049018D" w:rsidP="0049018D">
      <w:pPr>
        <w:rPr>
          <w:rFonts w:eastAsia="Times New Roman" w:cstheme="minorHAnsi"/>
          <w:color w:val="000000"/>
          <w:lang w:val="en-US" w:eastAsia="en-IN"/>
        </w:rPr>
      </w:pPr>
    </w:p>
    <w:p w14:paraId="0F6CE91A" w14:textId="4FE3EACA" w:rsidR="0049018D" w:rsidRPr="00524A62" w:rsidRDefault="000378D8" w:rsidP="0049018D">
      <w:pPr>
        <w:rPr>
          <w:rFonts w:eastAsia="Times New Roman" w:cstheme="minorHAnsi"/>
          <w:color w:val="000000"/>
          <w:lang w:val="en-US" w:eastAsia="en-IN"/>
        </w:rPr>
      </w:pPr>
      <w:r w:rsidRPr="00524A62">
        <w:rPr>
          <w:rFonts w:eastAsia="Times New Roman" w:cstheme="minorHAnsi"/>
          <w:b/>
          <w:bCs/>
          <w:color w:val="000000"/>
          <w:lang w:val="en-US" w:eastAsia="en-IN"/>
        </w:rPr>
        <w:t>NOTE</w:t>
      </w:r>
      <w:r w:rsidR="0049018D" w:rsidRPr="00524A62">
        <w:rPr>
          <w:rFonts w:eastAsia="Times New Roman" w:cstheme="minorHAnsi"/>
          <w:color w:val="000000"/>
          <w:lang w:val="en-US" w:eastAsia="en-IN"/>
        </w:rPr>
        <w:t>: most institutions do not report information on their loan interest rates and how they change over time. Therefore, some loan data is merely indicative that the policies exist but we do not know their precise conditions.</w:t>
      </w:r>
    </w:p>
    <w:p w14:paraId="60374629" w14:textId="47C40419" w:rsidR="0049018D" w:rsidRPr="00524A62" w:rsidRDefault="0049018D" w:rsidP="0080659D">
      <w:pPr>
        <w:pStyle w:val="Heading3"/>
        <w:numPr>
          <w:ilvl w:val="0"/>
          <w:numId w:val="22"/>
        </w:numPr>
        <w:spacing w:before="40" w:after="60"/>
        <w:ind w:left="714" w:hanging="357"/>
        <w:rPr>
          <w:rFonts w:asciiTheme="majorHAnsi" w:hAnsiTheme="majorHAnsi" w:cstheme="majorHAnsi"/>
          <w:color w:val="387782" w:themeColor="accent1" w:themeShade="BF"/>
          <w:sz w:val="24"/>
          <w:szCs w:val="24"/>
          <w:lang w:val="en-US"/>
        </w:rPr>
      </w:pPr>
      <w:bookmarkStart w:id="34" w:name="_Toc219972882"/>
      <w:r w:rsidRPr="00524A62">
        <w:rPr>
          <w:rFonts w:asciiTheme="majorHAnsi" w:hAnsiTheme="majorHAnsi" w:cstheme="majorHAnsi"/>
          <w:color w:val="387782" w:themeColor="accent1" w:themeShade="BF"/>
          <w:sz w:val="24"/>
          <w:szCs w:val="24"/>
          <w:lang w:val="en-US"/>
        </w:rPr>
        <w:t>Loan guarantee</w:t>
      </w:r>
      <w:bookmarkEnd w:id="34"/>
      <w:r w:rsidRPr="00524A62">
        <w:rPr>
          <w:rFonts w:asciiTheme="majorHAnsi" w:hAnsiTheme="majorHAnsi" w:cstheme="majorHAnsi"/>
          <w:color w:val="387782" w:themeColor="accent1" w:themeShade="BF"/>
          <w:sz w:val="24"/>
          <w:szCs w:val="24"/>
          <w:lang w:val="en-US"/>
        </w:rPr>
        <w:t xml:space="preserve"> </w:t>
      </w:r>
    </w:p>
    <w:p w14:paraId="438B8A2E" w14:textId="1A66362E" w:rsidR="0049018D" w:rsidRPr="00524A62" w:rsidRDefault="0049018D" w:rsidP="0049018D">
      <w:pPr>
        <w:rPr>
          <w:rFonts w:cstheme="minorHAnsi"/>
          <w:lang w:val="en-US"/>
        </w:rPr>
      </w:pPr>
      <w:r w:rsidRPr="00524A62">
        <w:rPr>
          <w:rFonts w:cstheme="minorHAnsi"/>
          <w:lang w:val="en-US"/>
        </w:rPr>
        <w:t>With this instrument, governments seek to reduce the financing costs of new projects by guaranteeing to pay the loan should the project go bankrupt; this way, the required returns (on debt and/or equity) are lowered, because the default risk is lowered. The most relevant data for this instrument is the level, and the cap for the maximum size of the loan guarantee.</w:t>
      </w:r>
    </w:p>
    <w:p w14:paraId="5B40E724" w14:textId="170437BC" w:rsidR="0049018D" w:rsidRPr="00524A62" w:rsidRDefault="0049018D" w:rsidP="0080659D">
      <w:pPr>
        <w:pStyle w:val="Heading3"/>
        <w:numPr>
          <w:ilvl w:val="0"/>
          <w:numId w:val="22"/>
        </w:numPr>
        <w:spacing w:before="40" w:after="60"/>
        <w:ind w:left="714" w:hanging="357"/>
        <w:rPr>
          <w:rFonts w:asciiTheme="majorHAnsi" w:hAnsiTheme="majorHAnsi" w:cstheme="majorHAnsi"/>
          <w:color w:val="387782" w:themeColor="accent1" w:themeShade="BF"/>
          <w:sz w:val="24"/>
          <w:szCs w:val="24"/>
          <w:lang w:val="en-US"/>
        </w:rPr>
      </w:pPr>
      <w:bookmarkStart w:id="35" w:name="_Toc219972883"/>
      <w:r w:rsidRPr="00524A62">
        <w:rPr>
          <w:rFonts w:asciiTheme="majorHAnsi" w:hAnsiTheme="majorHAnsi" w:cstheme="majorHAnsi"/>
          <w:color w:val="387782" w:themeColor="accent1" w:themeShade="BF"/>
          <w:sz w:val="24"/>
          <w:szCs w:val="24"/>
          <w:lang w:val="en-US"/>
        </w:rPr>
        <w:lastRenderedPageBreak/>
        <w:t>Tax incentives</w:t>
      </w:r>
      <w:bookmarkEnd w:id="35"/>
    </w:p>
    <w:p w14:paraId="16C1D88B" w14:textId="78D9334F" w:rsidR="00E32A49" w:rsidRPr="00524A62" w:rsidRDefault="0049018D" w:rsidP="0049018D">
      <w:pPr>
        <w:rPr>
          <w:rFonts w:cstheme="minorHAnsi"/>
          <w:lang w:val="en-US"/>
        </w:rPr>
      </w:pPr>
      <w:r w:rsidRPr="00524A62">
        <w:rPr>
          <w:rFonts w:cstheme="minorHAnsi"/>
          <w:lang w:val="en-US"/>
        </w:rPr>
        <w:t xml:space="preserve">Tax incentives </w:t>
      </w:r>
      <w:r w:rsidR="00E32A49" w:rsidRPr="00524A62">
        <w:rPr>
          <w:rFonts w:cstheme="minorHAnsi"/>
          <w:lang w:val="en-US"/>
        </w:rPr>
        <w:t xml:space="preserve">are a type of fiscal incentive where the government reduces or exempts selected activities, goods or actors from taxes. </w:t>
      </w:r>
      <w:r w:rsidRPr="00524A62">
        <w:rPr>
          <w:rFonts w:cstheme="minorHAnsi"/>
          <w:lang w:val="en-US"/>
        </w:rPr>
        <w:t>For tax incentives, the most relevant data is on the level</w:t>
      </w:r>
      <w:r w:rsidR="007E7E1A" w:rsidRPr="00524A62">
        <w:rPr>
          <w:rFonts w:cstheme="minorHAnsi"/>
          <w:lang w:val="en-US"/>
        </w:rPr>
        <w:t xml:space="preserve">, </w:t>
      </w:r>
      <w:r w:rsidRPr="00524A62">
        <w:rPr>
          <w:rFonts w:cstheme="minorHAnsi"/>
          <w:lang w:val="en-US"/>
        </w:rPr>
        <w:t xml:space="preserve"> </w:t>
      </w:r>
      <w:r w:rsidR="007E7E1A" w:rsidRPr="00524A62">
        <w:rPr>
          <w:rFonts w:cstheme="minorHAnsi"/>
          <w:lang w:val="en-US"/>
        </w:rPr>
        <w:t xml:space="preserve">the actors to whom this applies (if specified), the </w:t>
      </w:r>
      <w:r w:rsidRPr="00524A62">
        <w:rPr>
          <w:rFonts w:cstheme="minorHAnsi"/>
          <w:lang w:val="en-US"/>
        </w:rPr>
        <w:t>conditions that must apply for exemptions</w:t>
      </w:r>
      <w:r w:rsidR="007E7E1A" w:rsidRPr="00524A62">
        <w:rPr>
          <w:rFonts w:cstheme="minorHAnsi"/>
          <w:lang w:val="en-US"/>
        </w:rPr>
        <w:t xml:space="preserve">, and </w:t>
      </w:r>
      <w:r w:rsidR="00767058" w:rsidRPr="00524A62">
        <w:rPr>
          <w:rFonts w:cstheme="minorHAnsi"/>
          <w:lang w:val="en-US"/>
        </w:rPr>
        <w:t>unit.</w:t>
      </w:r>
      <w:r w:rsidR="007E7E1A" w:rsidRPr="00524A62">
        <w:rPr>
          <w:rFonts w:cstheme="minorHAnsi"/>
          <w:lang w:val="en-US"/>
        </w:rPr>
        <w:t xml:space="preserve"> </w:t>
      </w:r>
    </w:p>
    <w:p w14:paraId="131A84E0" w14:textId="5E749F60" w:rsidR="00E32A49" w:rsidRPr="00524A62" w:rsidRDefault="00E32A49" w:rsidP="0049018D">
      <w:pPr>
        <w:rPr>
          <w:rFonts w:cstheme="minorHAnsi"/>
          <w:lang w:val="en-US"/>
        </w:rPr>
      </w:pPr>
      <w:r w:rsidRPr="00524A62">
        <w:rPr>
          <w:rFonts w:cstheme="minorHAnsi"/>
          <w:lang w:val="en-US"/>
        </w:rPr>
        <w:t xml:space="preserve">There are several sub-types of tax incentives; the type is recorded in the column </w:t>
      </w:r>
      <w:r w:rsidR="00205CA0" w:rsidRPr="00524A62">
        <w:rPr>
          <w:rFonts w:cstheme="minorHAnsi"/>
          <w:lang w:val="en-US"/>
        </w:rPr>
        <w:t>tax_type.</w:t>
      </w:r>
      <w:r w:rsidR="00B54A39" w:rsidRPr="00524A62">
        <w:rPr>
          <w:rFonts w:cstheme="minorHAnsi"/>
          <w:lang w:val="en-US"/>
        </w:rPr>
        <w:t xml:space="preserve"> Below we include further information on the different types of tax incentives</w:t>
      </w:r>
      <w:r w:rsidR="00596E2D" w:rsidRPr="00524A62">
        <w:rPr>
          <w:rFonts w:cstheme="minorHAnsi"/>
          <w:lang w:val="en-US"/>
        </w:rPr>
        <w:t xml:space="preserve"> and actors.</w:t>
      </w:r>
    </w:p>
    <w:p w14:paraId="51047403" w14:textId="0FEFFC4D" w:rsidR="00E07D8C" w:rsidRPr="00E5352E" w:rsidRDefault="00E07D8C" w:rsidP="00E07D8C">
      <w:pPr>
        <w:pStyle w:val="Caption"/>
        <w:rPr>
          <w:rFonts w:cstheme="minorHAnsi"/>
          <w:lang w:val="en-US" w:eastAsia="en-IN"/>
        </w:rPr>
      </w:pPr>
      <w:r w:rsidRPr="00551268">
        <w:rPr>
          <w:lang w:val="en-US"/>
        </w:rPr>
        <w:t xml:space="preserve">Table </w:t>
      </w:r>
      <w:r w:rsidRPr="00551268">
        <w:rPr>
          <w:lang w:val="en-US"/>
        </w:rPr>
        <w:fldChar w:fldCharType="begin"/>
      </w:r>
      <w:r w:rsidRPr="00551268">
        <w:rPr>
          <w:lang w:val="en-US"/>
        </w:rPr>
        <w:instrText xml:space="preserve"> SEQ Table \* ARABIC </w:instrText>
      </w:r>
      <w:r w:rsidRPr="00551268">
        <w:rPr>
          <w:lang w:val="en-US"/>
        </w:rPr>
        <w:fldChar w:fldCharType="separate"/>
      </w:r>
      <w:r>
        <w:rPr>
          <w:noProof/>
          <w:lang w:val="en-US"/>
        </w:rPr>
        <w:t>24</w:t>
      </w:r>
      <w:r w:rsidRPr="00551268">
        <w:rPr>
          <w:noProof/>
          <w:lang w:val="en-US"/>
        </w:rPr>
        <w:fldChar w:fldCharType="end"/>
      </w:r>
      <w:r w:rsidRPr="00551268">
        <w:rPr>
          <w:lang w:val="en-US"/>
        </w:rPr>
        <w:t xml:space="preserve">: </w:t>
      </w:r>
      <w:r>
        <w:rPr>
          <w:lang w:val="en-US"/>
        </w:rPr>
        <w:t>Variables that apply to tax incentives</w:t>
      </w:r>
    </w:p>
    <w:tbl>
      <w:tblPr>
        <w:tblStyle w:val="TableGrid"/>
        <w:tblW w:w="5070" w:type="pct"/>
        <w:tblLook w:val="04A0" w:firstRow="1" w:lastRow="0" w:firstColumn="1" w:lastColumn="0" w:noHBand="0" w:noVBand="1"/>
      </w:tblPr>
      <w:tblGrid>
        <w:gridCol w:w="1729"/>
        <w:gridCol w:w="2935"/>
        <w:gridCol w:w="4525"/>
      </w:tblGrid>
      <w:tr w:rsidR="00811FE8" w:rsidRPr="00524A62" w14:paraId="1B97EA1A" w14:textId="77777777" w:rsidTr="00B515D5">
        <w:trPr>
          <w:trHeight w:val="20"/>
        </w:trPr>
        <w:tc>
          <w:tcPr>
            <w:tcW w:w="941" w:type="pct"/>
          </w:tcPr>
          <w:p w14:paraId="1A0D7E86" w14:textId="77777777" w:rsidR="00811FE8" w:rsidRPr="00524A62" w:rsidRDefault="00811FE8" w:rsidP="00ED1CBB">
            <w:pPr>
              <w:rPr>
                <w:rFonts w:cstheme="minorHAnsi"/>
                <w:lang w:val="en-US"/>
              </w:rPr>
            </w:pPr>
            <w:r w:rsidRPr="00524A62">
              <w:rPr>
                <w:rFonts w:cstheme="minorHAnsi"/>
                <w:b/>
                <w:bCs/>
                <w:lang w:val="en-US" w:eastAsia="en-IN"/>
              </w:rPr>
              <w:t>Variable name</w:t>
            </w:r>
          </w:p>
        </w:tc>
        <w:tc>
          <w:tcPr>
            <w:tcW w:w="1597" w:type="pct"/>
          </w:tcPr>
          <w:p w14:paraId="12BB993F" w14:textId="77777777" w:rsidR="00811FE8" w:rsidRPr="00524A62" w:rsidRDefault="00811FE8" w:rsidP="00ED1CBB">
            <w:pPr>
              <w:rPr>
                <w:rFonts w:cstheme="minorHAnsi"/>
                <w:lang w:val="en-US"/>
              </w:rPr>
            </w:pPr>
            <w:r w:rsidRPr="00524A62">
              <w:rPr>
                <w:rFonts w:cstheme="minorHAnsi"/>
                <w:b/>
                <w:bCs/>
                <w:lang w:val="en-US" w:eastAsia="en-IN"/>
              </w:rPr>
              <w:t>Description</w:t>
            </w:r>
          </w:p>
        </w:tc>
        <w:tc>
          <w:tcPr>
            <w:tcW w:w="2462" w:type="pct"/>
          </w:tcPr>
          <w:p w14:paraId="41F2D310" w14:textId="77777777" w:rsidR="00811FE8" w:rsidRPr="00524A62" w:rsidRDefault="00811FE8" w:rsidP="00ED1CBB">
            <w:pPr>
              <w:rPr>
                <w:rFonts w:cstheme="minorHAnsi"/>
                <w:lang w:val="en-US"/>
              </w:rPr>
            </w:pPr>
            <w:r w:rsidRPr="00524A62">
              <w:rPr>
                <w:rFonts w:cstheme="minorHAnsi"/>
                <w:b/>
                <w:bCs/>
                <w:lang w:val="en-US" w:eastAsia="en-IN"/>
              </w:rPr>
              <w:t>Values</w:t>
            </w:r>
          </w:p>
        </w:tc>
      </w:tr>
      <w:tr w:rsidR="00811FE8" w:rsidRPr="00524A62" w14:paraId="466B8103" w14:textId="77777777" w:rsidTr="00B515D5">
        <w:trPr>
          <w:trHeight w:val="20"/>
        </w:trPr>
        <w:tc>
          <w:tcPr>
            <w:tcW w:w="941" w:type="pct"/>
          </w:tcPr>
          <w:p w14:paraId="2DFCA064" w14:textId="54966D00" w:rsidR="00811FE8" w:rsidRPr="00524A62" w:rsidRDefault="00F342B5" w:rsidP="00ED1CBB">
            <w:pPr>
              <w:rPr>
                <w:rFonts w:cstheme="minorHAnsi"/>
                <w:lang w:val="en-US"/>
              </w:rPr>
            </w:pPr>
            <w:r w:rsidRPr="00524A62">
              <w:rPr>
                <w:rFonts w:cstheme="minorHAnsi"/>
                <w:lang w:val="en-US"/>
              </w:rPr>
              <w:t>tax_type</w:t>
            </w:r>
          </w:p>
        </w:tc>
        <w:tc>
          <w:tcPr>
            <w:tcW w:w="1597" w:type="pct"/>
          </w:tcPr>
          <w:p w14:paraId="4FA1F7F7" w14:textId="1BA4505F" w:rsidR="00811FE8" w:rsidRPr="00524A62" w:rsidRDefault="005E64FC" w:rsidP="00ED1CBB">
            <w:pPr>
              <w:rPr>
                <w:rFonts w:cstheme="minorHAnsi"/>
                <w:lang w:val="en-US"/>
              </w:rPr>
            </w:pPr>
            <w:r w:rsidRPr="00524A62">
              <w:rPr>
                <w:rFonts w:cstheme="minorHAnsi"/>
                <w:lang w:val="en-US"/>
              </w:rPr>
              <w:t>t</w:t>
            </w:r>
            <w:r w:rsidR="00811FE8" w:rsidRPr="00524A62">
              <w:rPr>
                <w:rFonts w:cstheme="minorHAnsi"/>
                <w:lang w:val="en-US"/>
              </w:rPr>
              <w:t xml:space="preserve">he </w:t>
            </w:r>
            <w:r w:rsidR="00ED69C4" w:rsidRPr="00524A62">
              <w:rPr>
                <w:rFonts w:cstheme="minorHAnsi"/>
                <w:lang w:val="en-US"/>
              </w:rPr>
              <w:t>type of tax incentive</w:t>
            </w:r>
          </w:p>
        </w:tc>
        <w:tc>
          <w:tcPr>
            <w:tcW w:w="2462" w:type="pct"/>
          </w:tcPr>
          <w:tbl>
            <w:tblPr>
              <w:tblW w:w="3953" w:type="dxa"/>
              <w:tblInd w:w="12" w:type="dxa"/>
              <w:tblLook w:val="04A0" w:firstRow="1" w:lastRow="0" w:firstColumn="1" w:lastColumn="0" w:noHBand="0" w:noVBand="1"/>
            </w:tblPr>
            <w:tblGrid>
              <w:gridCol w:w="3953"/>
            </w:tblGrid>
            <w:tr w:rsidR="0008018A" w:rsidRPr="00524A62" w14:paraId="2ACCCD41" w14:textId="77777777" w:rsidTr="00B515D5">
              <w:trPr>
                <w:trHeight w:val="33"/>
              </w:trPr>
              <w:tc>
                <w:tcPr>
                  <w:tcW w:w="3953" w:type="dxa"/>
                  <w:tcBorders>
                    <w:top w:val="nil"/>
                    <w:left w:val="nil"/>
                    <w:bottom w:val="nil"/>
                    <w:right w:val="nil"/>
                  </w:tcBorders>
                  <w:noWrap/>
                  <w:vAlign w:val="bottom"/>
                  <w:hideMark/>
                </w:tcPr>
                <w:p w14:paraId="0AB3B253" w14:textId="77777777" w:rsidR="0008018A" w:rsidRPr="00524A62" w:rsidRDefault="0008018A" w:rsidP="0008018A">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tax exclusion</w:t>
                  </w:r>
                </w:p>
              </w:tc>
            </w:tr>
            <w:tr w:rsidR="0008018A" w:rsidRPr="00524A62" w14:paraId="0D30CBD6" w14:textId="77777777" w:rsidTr="00B515D5">
              <w:trPr>
                <w:trHeight w:val="33"/>
              </w:trPr>
              <w:tc>
                <w:tcPr>
                  <w:tcW w:w="3953" w:type="dxa"/>
                  <w:tcBorders>
                    <w:top w:val="nil"/>
                    <w:left w:val="nil"/>
                    <w:bottom w:val="nil"/>
                    <w:right w:val="nil"/>
                  </w:tcBorders>
                  <w:noWrap/>
                  <w:vAlign w:val="bottom"/>
                  <w:hideMark/>
                </w:tcPr>
                <w:p w14:paraId="0DEB0BCF" w14:textId="77777777" w:rsidR="0008018A" w:rsidRPr="00524A62" w:rsidRDefault="0008018A" w:rsidP="0008018A">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tax deduction</w:t>
                  </w:r>
                </w:p>
              </w:tc>
            </w:tr>
            <w:tr w:rsidR="0008018A" w:rsidRPr="00524A62" w14:paraId="73BFC14B" w14:textId="77777777" w:rsidTr="00B515D5">
              <w:trPr>
                <w:trHeight w:val="33"/>
              </w:trPr>
              <w:tc>
                <w:tcPr>
                  <w:tcW w:w="3953" w:type="dxa"/>
                  <w:tcBorders>
                    <w:top w:val="nil"/>
                    <w:left w:val="nil"/>
                    <w:bottom w:val="nil"/>
                    <w:right w:val="nil"/>
                  </w:tcBorders>
                  <w:noWrap/>
                  <w:vAlign w:val="bottom"/>
                  <w:hideMark/>
                </w:tcPr>
                <w:p w14:paraId="240876BC" w14:textId="77777777" w:rsidR="0008018A" w:rsidRPr="00524A62" w:rsidRDefault="0008018A" w:rsidP="0008018A">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tax deduction, accelerated depreciation</w:t>
                  </w:r>
                </w:p>
              </w:tc>
            </w:tr>
            <w:tr w:rsidR="0008018A" w:rsidRPr="00524A62" w14:paraId="7A232C45" w14:textId="77777777" w:rsidTr="00B515D5">
              <w:trPr>
                <w:trHeight w:val="33"/>
              </w:trPr>
              <w:tc>
                <w:tcPr>
                  <w:tcW w:w="3953" w:type="dxa"/>
                  <w:tcBorders>
                    <w:top w:val="nil"/>
                    <w:left w:val="nil"/>
                    <w:bottom w:val="nil"/>
                    <w:right w:val="nil"/>
                  </w:tcBorders>
                  <w:noWrap/>
                  <w:vAlign w:val="bottom"/>
                  <w:hideMark/>
                </w:tcPr>
                <w:p w14:paraId="1E674087" w14:textId="77777777" w:rsidR="0008018A" w:rsidRPr="00524A62" w:rsidRDefault="0008018A" w:rsidP="0008018A">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reduced tax rate</w:t>
                  </w:r>
                </w:p>
              </w:tc>
            </w:tr>
            <w:tr w:rsidR="0008018A" w:rsidRPr="00524A62" w14:paraId="16C6DB95" w14:textId="77777777" w:rsidTr="00B515D5">
              <w:trPr>
                <w:trHeight w:val="33"/>
              </w:trPr>
              <w:tc>
                <w:tcPr>
                  <w:tcW w:w="3953" w:type="dxa"/>
                  <w:tcBorders>
                    <w:top w:val="nil"/>
                    <w:left w:val="nil"/>
                    <w:bottom w:val="nil"/>
                    <w:right w:val="nil"/>
                  </w:tcBorders>
                  <w:noWrap/>
                  <w:vAlign w:val="bottom"/>
                  <w:hideMark/>
                </w:tcPr>
                <w:p w14:paraId="326639DF" w14:textId="77777777" w:rsidR="0008018A" w:rsidRPr="00524A62" w:rsidRDefault="0008018A" w:rsidP="0008018A">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tax credit</w:t>
                  </w:r>
                </w:p>
              </w:tc>
            </w:tr>
            <w:tr w:rsidR="0008018A" w:rsidRPr="00524A62" w14:paraId="430B8F36" w14:textId="77777777" w:rsidTr="00B515D5">
              <w:trPr>
                <w:trHeight w:val="33"/>
              </w:trPr>
              <w:tc>
                <w:tcPr>
                  <w:tcW w:w="3953" w:type="dxa"/>
                  <w:tcBorders>
                    <w:top w:val="nil"/>
                    <w:left w:val="nil"/>
                    <w:bottom w:val="nil"/>
                    <w:right w:val="nil"/>
                  </w:tcBorders>
                  <w:noWrap/>
                  <w:vAlign w:val="bottom"/>
                  <w:hideMark/>
                </w:tcPr>
                <w:p w14:paraId="65E2A61D" w14:textId="4F067724" w:rsidR="0008018A" w:rsidRPr="00524A62" w:rsidRDefault="0008018A" w:rsidP="0008018A">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tax rebate</w:t>
                  </w:r>
                </w:p>
              </w:tc>
            </w:tr>
          </w:tbl>
          <w:p w14:paraId="13B29E31" w14:textId="2B4EEFAC" w:rsidR="00811FE8" w:rsidRPr="00524A62" w:rsidRDefault="00811FE8" w:rsidP="00ED1CBB">
            <w:pPr>
              <w:rPr>
                <w:rFonts w:cstheme="minorHAnsi"/>
                <w:lang w:val="en-US"/>
              </w:rPr>
            </w:pPr>
          </w:p>
        </w:tc>
      </w:tr>
      <w:tr w:rsidR="00F10B48" w:rsidRPr="008D4356" w14:paraId="3BB57147" w14:textId="77777777" w:rsidTr="00B515D5">
        <w:trPr>
          <w:trHeight w:val="20"/>
        </w:trPr>
        <w:tc>
          <w:tcPr>
            <w:tcW w:w="941" w:type="pct"/>
          </w:tcPr>
          <w:p w14:paraId="73033A9D" w14:textId="339320A5" w:rsidR="00F10B48" w:rsidRPr="00524A62" w:rsidRDefault="00F10B48" w:rsidP="00F10B48">
            <w:pPr>
              <w:rPr>
                <w:rFonts w:cstheme="minorHAnsi"/>
                <w:lang w:val="en-US"/>
              </w:rPr>
            </w:pPr>
            <w:r w:rsidRPr="00524A62">
              <w:rPr>
                <w:rFonts w:cstheme="minorHAnsi"/>
                <w:lang w:val="en-US"/>
              </w:rPr>
              <w:t>level_1_</w:t>
            </w:r>
            <w:r w:rsidR="00767058" w:rsidRPr="00524A62">
              <w:rPr>
                <w:rFonts w:cstheme="minorHAnsi"/>
                <w:lang w:val="en-US"/>
              </w:rPr>
              <w:t>unit</w:t>
            </w:r>
          </w:p>
        </w:tc>
        <w:tc>
          <w:tcPr>
            <w:tcW w:w="1597" w:type="pct"/>
          </w:tcPr>
          <w:p w14:paraId="5DEC8DEC" w14:textId="40C2BDCC" w:rsidR="00F10B48" w:rsidRPr="00524A62" w:rsidRDefault="00F10B48" w:rsidP="00F10B48">
            <w:pPr>
              <w:rPr>
                <w:rFonts w:cstheme="minorHAnsi"/>
                <w:lang w:val="en-US"/>
              </w:rPr>
            </w:pPr>
            <w:r w:rsidRPr="00524A62">
              <w:rPr>
                <w:rFonts w:cstheme="minorHAnsi"/>
                <w:lang w:val="en-US"/>
              </w:rPr>
              <w:t>identifies the base financial category used to calculate a tax incentive</w:t>
            </w:r>
          </w:p>
        </w:tc>
        <w:tc>
          <w:tcPr>
            <w:tcW w:w="2462" w:type="pct"/>
          </w:tcPr>
          <w:p w14:paraId="570D7E5C" w14:textId="7F45617C" w:rsidR="00F10B48" w:rsidRPr="00524A62" w:rsidRDefault="00F10B48" w:rsidP="00F10B48">
            <w:pPr>
              <w:rPr>
                <w:rFonts w:ascii="Calibri" w:eastAsia="Times New Roman" w:hAnsi="Calibri" w:cs="Calibri"/>
                <w:color w:val="000000"/>
                <w:lang w:val="en-US"/>
              </w:rPr>
            </w:pPr>
            <w:r w:rsidRPr="00524A62">
              <w:rPr>
                <w:lang w:val="en-US"/>
              </w:rPr>
              <w:t>% sales tax/VAT on all transactions</w:t>
            </w:r>
            <w:r w:rsidR="00B515D5" w:rsidRPr="00524A62">
              <w:rPr>
                <w:lang w:val="en-US"/>
              </w:rPr>
              <w:t xml:space="preserve">, </w:t>
            </w:r>
            <w:r w:rsidRPr="00524A62">
              <w:rPr>
                <w:lang w:val="en-US"/>
              </w:rPr>
              <w:t>% income/profits from electricity generation</w:t>
            </w:r>
            <w:r w:rsidR="00B515D5" w:rsidRPr="00524A62">
              <w:rPr>
                <w:lang w:val="en-US"/>
              </w:rPr>
              <w:t xml:space="preserve">, </w:t>
            </w:r>
            <w:r w:rsidRPr="00524A62">
              <w:rPr>
                <w:lang w:val="en-US"/>
              </w:rPr>
              <w:t>% project costs</w:t>
            </w:r>
            <w:r w:rsidR="00B515D5" w:rsidRPr="00524A62">
              <w:rPr>
                <w:lang w:val="en-US"/>
              </w:rPr>
              <w:t xml:space="preserve">, </w:t>
            </w:r>
            <w:r w:rsidR="001D04BF" w:rsidRPr="00524A62">
              <w:rPr>
                <w:lang w:val="en-US"/>
              </w:rPr>
              <w:t>etc.</w:t>
            </w:r>
            <w:r w:rsidR="00B515D5" w:rsidRPr="00524A62">
              <w:rPr>
                <w:lang w:val="en-US"/>
              </w:rPr>
              <w:t>…</w:t>
            </w:r>
          </w:p>
        </w:tc>
      </w:tr>
    </w:tbl>
    <w:p w14:paraId="4F0B45E6" w14:textId="4DBA8104" w:rsidR="00386538" w:rsidRPr="00524A62" w:rsidRDefault="00386538" w:rsidP="0080659D">
      <w:pPr>
        <w:pStyle w:val="Heading4"/>
        <w:numPr>
          <w:ilvl w:val="1"/>
          <w:numId w:val="28"/>
        </w:numPr>
        <w:rPr>
          <w:rFonts w:ascii="Calibri Light" w:hAnsi="Calibri Light" w:cs="Calibri Light"/>
          <w:b w:val="0"/>
          <w:bCs w:val="0"/>
          <w:lang w:val="en-US"/>
        </w:rPr>
      </w:pPr>
      <w:r w:rsidRPr="00524A62">
        <w:rPr>
          <w:rFonts w:asciiTheme="majorHAnsi" w:hAnsiTheme="majorHAnsi" w:cstheme="majorHAnsi"/>
          <w:b w:val="0"/>
          <w:bCs w:val="0"/>
          <w:sz w:val="24"/>
          <w:szCs w:val="24"/>
          <w:lang w:val="en-US"/>
        </w:rPr>
        <w:t>Tax deductions</w:t>
      </w:r>
    </w:p>
    <w:p w14:paraId="1762FD2D" w14:textId="73F14E47" w:rsidR="0080659D" w:rsidRPr="00524A62" w:rsidRDefault="00386538" w:rsidP="0080659D">
      <w:pPr>
        <w:rPr>
          <w:lang w:val="en-US"/>
        </w:rPr>
      </w:pPr>
      <w:r w:rsidRPr="00524A62">
        <w:rPr>
          <w:lang w:val="en-US"/>
        </w:rPr>
        <w:t xml:space="preserve">Tax deductions allow you to reduce the amount of </w:t>
      </w:r>
      <w:r w:rsidR="009105BC" w:rsidRPr="00524A62">
        <w:rPr>
          <w:lang w:val="en-US"/>
        </w:rPr>
        <w:t xml:space="preserve">gross </w:t>
      </w:r>
      <w:r w:rsidRPr="00524A62">
        <w:rPr>
          <w:lang w:val="en-US"/>
        </w:rPr>
        <w:t>income (or for companies, profits/value) you have to pay taxes on by subtracting certain costs from it. For example, homeowners can deduct 40% of the cost of renewable energy renovations (</w:t>
      </w:r>
      <w:r w:rsidR="001D04BF" w:rsidRPr="00524A62">
        <w:rPr>
          <w:lang w:val="en-US"/>
        </w:rPr>
        <w:t>e.g.,</w:t>
      </w:r>
      <w:r w:rsidRPr="00524A62">
        <w:rPr>
          <w:lang w:val="en-US"/>
        </w:rPr>
        <w:t xml:space="preserve"> solar, passive house improvements) from their income tax – so if I had a taxable income of $80,000 and my renovations were $50,000 (of which 40% is $20,000), my taxable income would $60,000.</w:t>
      </w:r>
    </w:p>
    <w:p w14:paraId="54998CF7" w14:textId="4410C4C2" w:rsidR="00B54A39" w:rsidRPr="00524A62" w:rsidRDefault="00F718A7" w:rsidP="0080659D">
      <w:pPr>
        <w:rPr>
          <w:b/>
          <w:bCs/>
          <w:sz w:val="18"/>
          <w:szCs w:val="18"/>
          <w:lang w:val="en-US"/>
        </w:rPr>
      </w:pPr>
      <w:r w:rsidRPr="00524A62">
        <w:rPr>
          <w:rStyle w:val="Heading4Char1"/>
          <w:b w:val="0"/>
          <w:bCs w:val="0"/>
          <w:sz w:val="22"/>
          <w:szCs w:val="22"/>
          <w:lang w:val="en-US"/>
        </w:rPr>
        <w:t xml:space="preserve">6.1.1 </w:t>
      </w:r>
      <w:r w:rsidR="00386538" w:rsidRPr="00524A62">
        <w:rPr>
          <w:rStyle w:val="Heading4Char1"/>
          <w:b w:val="0"/>
          <w:bCs w:val="0"/>
          <w:sz w:val="22"/>
          <w:szCs w:val="22"/>
          <w:lang w:val="en-US"/>
        </w:rPr>
        <w:t>Accelerated depreciation</w:t>
      </w:r>
      <w:r w:rsidR="00386538" w:rsidRPr="00524A62">
        <w:rPr>
          <w:b/>
          <w:bCs/>
          <w:sz w:val="18"/>
          <w:szCs w:val="18"/>
          <w:lang w:val="en-US"/>
        </w:rPr>
        <w:t xml:space="preserve"> </w:t>
      </w:r>
    </w:p>
    <w:p w14:paraId="71A4DF7F" w14:textId="3B3C4F0E" w:rsidR="00386538" w:rsidRPr="00524A62" w:rsidRDefault="00B54A39" w:rsidP="00B54A39">
      <w:pPr>
        <w:rPr>
          <w:lang w:val="en-US"/>
        </w:rPr>
      </w:pPr>
      <w:r w:rsidRPr="00524A62">
        <w:rPr>
          <w:lang w:val="en-US"/>
        </w:rPr>
        <w:t xml:space="preserve">Accelerated depreciation </w:t>
      </w:r>
      <w:r w:rsidR="00386538" w:rsidRPr="00524A62">
        <w:rPr>
          <w:lang w:val="en-US"/>
        </w:rPr>
        <w:t xml:space="preserve">is a subtype of tax deduction, where companies can write off their investments more quickly. For </w:t>
      </w:r>
      <w:r w:rsidR="001D04BF" w:rsidRPr="00524A62">
        <w:rPr>
          <w:lang w:val="en-US"/>
        </w:rPr>
        <w:t>example,</w:t>
      </w:r>
      <w:r w:rsidR="00386538" w:rsidRPr="00524A62">
        <w:rPr>
          <w:lang w:val="en-US"/>
        </w:rPr>
        <w:t xml:space="preserve"> in Portugal, companies can write off the entire value of their investments in renewables in 4 years. </w:t>
      </w:r>
    </w:p>
    <w:p w14:paraId="5D1F0D36" w14:textId="6F5B8763" w:rsidR="00386538" w:rsidRPr="00524A62" w:rsidRDefault="00386538" w:rsidP="00E97B86">
      <w:pPr>
        <w:pStyle w:val="Heading4"/>
        <w:numPr>
          <w:ilvl w:val="1"/>
          <w:numId w:val="28"/>
        </w:numPr>
        <w:rPr>
          <w:rFonts w:asciiTheme="majorHAnsi" w:hAnsiTheme="majorHAnsi" w:cstheme="majorHAnsi"/>
          <w:b w:val="0"/>
          <w:bCs w:val="0"/>
          <w:sz w:val="24"/>
          <w:szCs w:val="24"/>
          <w:lang w:val="en-US"/>
        </w:rPr>
      </w:pPr>
      <w:r w:rsidRPr="00524A62">
        <w:rPr>
          <w:rFonts w:asciiTheme="majorHAnsi" w:hAnsiTheme="majorHAnsi" w:cstheme="majorHAnsi"/>
          <w:b w:val="0"/>
          <w:bCs w:val="0"/>
          <w:sz w:val="24"/>
          <w:szCs w:val="24"/>
          <w:lang w:val="en-US"/>
        </w:rPr>
        <w:t>Tax exemptions</w:t>
      </w:r>
    </w:p>
    <w:p w14:paraId="0B73BF17" w14:textId="32954770" w:rsidR="00386538" w:rsidRPr="00524A62" w:rsidRDefault="00A00397" w:rsidP="00B54A39">
      <w:pPr>
        <w:rPr>
          <w:i/>
          <w:iCs/>
          <w:lang w:val="en-US"/>
        </w:rPr>
      </w:pPr>
      <w:r w:rsidRPr="00524A62">
        <w:rPr>
          <w:lang w:val="en-US"/>
        </w:rPr>
        <w:t xml:space="preserve">Tax exemptions (sometimes also called tax exclusions) are when you do not pay taxes on certain streams of income or benefits; for example, in Ireland, employer-provided benefits-in-kind such as electric vehicles are not taxable. </w:t>
      </w:r>
      <w:r w:rsidR="00386538" w:rsidRPr="00524A62">
        <w:rPr>
          <w:lang w:val="en-US"/>
        </w:rPr>
        <w:t>. The difference to tax deductions is that in a deduction, you calculate your income/profits and then subtract your costs from it which makes your taxable income lower. An example of a tax e</w:t>
      </w:r>
      <w:r w:rsidR="006813A7" w:rsidRPr="00524A62">
        <w:rPr>
          <w:lang w:val="en-US"/>
        </w:rPr>
        <w:t>xemptions</w:t>
      </w:r>
      <w:r w:rsidR="00386538" w:rsidRPr="00524A62">
        <w:rPr>
          <w:lang w:val="en-US"/>
        </w:rPr>
        <w:t xml:space="preserve"> would be that the money you make from generating renewable electricity does not count as income at all. In this case, if I make $100,000 from electricity generation out of $110,000 profits total, my total taxable income is only $10,000. </w:t>
      </w:r>
      <w:r w:rsidR="000378D8" w:rsidRPr="00524A62">
        <w:rPr>
          <w:lang w:val="en-US"/>
        </w:rPr>
        <w:t>NOTE</w:t>
      </w:r>
      <w:r w:rsidR="00386538" w:rsidRPr="00524A62">
        <w:rPr>
          <w:lang w:val="en-US"/>
        </w:rPr>
        <w:t>: the level here should always be 100%</w:t>
      </w:r>
      <w:r w:rsidR="00B54A39" w:rsidRPr="00524A62">
        <w:rPr>
          <w:lang w:val="en-US"/>
        </w:rPr>
        <w:t>.</w:t>
      </w:r>
      <w:r w:rsidR="00386538" w:rsidRPr="00524A62">
        <w:rPr>
          <w:i/>
          <w:iCs/>
          <w:lang w:val="en-US"/>
        </w:rPr>
        <w:t xml:space="preserve"> </w:t>
      </w:r>
    </w:p>
    <w:p w14:paraId="72767E0A" w14:textId="6D59D2BF" w:rsidR="00386538" w:rsidRPr="00524A62" w:rsidRDefault="00386538" w:rsidP="00E97B86">
      <w:pPr>
        <w:pStyle w:val="Heading4"/>
        <w:numPr>
          <w:ilvl w:val="1"/>
          <w:numId w:val="28"/>
        </w:numPr>
        <w:rPr>
          <w:rFonts w:asciiTheme="majorHAnsi" w:hAnsiTheme="majorHAnsi" w:cstheme="majorHAnsi"/>
          <w:b w:val="0"/>
          <w:bCs w:val="0"/>
          <w:sz w:val="24"/>
          <w:szCs w:val="24"/>
          <w:lang w:val="en-US"/>
        </w:rPr>
      </w:pPr>
      <w:r w:rsidRPr="00524A62">
        <w:rPr>
          <w:rFonts w:asciiTheme="majorHAnsi" w:hAnsiTheme="majorHAnsi" w:cstheme="majorHAnsi"/>
          <w:b w:val="0"/>
          <w:bCs w:val="0"/>
          <w:sz w:val="24"/>
          <w:szCs w:val="24"/>
          <w:lang w:val="en-US"/>
        </w:rPr>
        <w:t>Reduced tax rates</w:t>
      </w:r>
    </w:p>
    <w:p w14:paraId="71F3E90A" w14:textId="0A621219" w:rsidR="00386538" w:rsidRPr="00524A62" w:rsidRDefault="00386538" w:rsidP="00B54A39">
      <w:pPr>
        <w:rPr>
          <w:highlight w:val="yellow"/>
          <w:lang w:val="en-US"/>
        </w:rPr>
      </w:pPr>
      <w:r w:rsidRPr="00524A62">
        <w:rPr>
          <w:lang w:val="en-US"/>
        </w:rPr>
        <w:t xml:space="preserve">Tax reductions lower the overall amount of taxes that actors pay on certain goods or services; or the amount of taxes that certain actors have to pay. This is often for consumable goods: for example, in the case of Italy, solar panels benefit from a reduced VAT of 10% (the usual VAT is 20%). Here, we record the level as 50% (because you pay only half as much VAT). </w:t>
      </w:r>
    </w:p>
    <w:p w14:paraId="1E575D2F" w14:textId="583946D4" w:rsidR="00386538" w:rsidRPr="00524A62" w:rsidRDefault="00386538" w:rsidP="00B54A39">
      <w:pPr>
        <w:rPr>
          <w:lang w:val="en-US"/>
        </w:rPr>
      </w:pPr>
      <w:r w:rsidRPr="00524A62">
        <w:rPr>
          <w:lang w:val="en-US"/>
        </w:rPr>
        <w:lastRenderedPageBreak/>
        <w:t xml:space="preserve">Within Europe, reductions will usually apply to sales tax/VAT (rarely but export taxes / import duties are also possible). </w:t>
      </w:r>
      <w:r w:rsidR="00B54A39" w:rsidRPr="00524A62">
        <w:rPr>
          <w:lang w:val="en-US"/>
        </w:rPr>
        <w:t>If the regular VAT rate is not stated within the policy, we use historical information from the OECD (link:</w:t>
      </w:r>
      <w:r w:rsidRPr="00524A62">
        <w:rPr>
          <w:lang w:val="en-US"/>
        </w:rPr>
        <w:t xml:space="preserve"> </w:t>
      </w:r>
      <w:hyperlink r:id="rId16" w:history="1">
        <w:r w:rsidRPr="00524A62">
          <w:rPr>
            <w:rStyle w:val="Hyperlink"/>
            <w:lang w:val="en-US"/>
          </w:rPr>
          <w:t>https://www.oecd.org/en/publications/consumption-tax-trends-2024_dcd4dd36-en/support-materials.html</w:t>
        </w:r>
      </w:hyperlink>
      <w:r w:rsidR="00B54A39" w:rsidRPr="00524A62">
        <w:rPr>
          <w:lang w:val="en-US"/>
        </w:rPr>
        <w:t xml:space="preserve">) and record this information in the </w:t>
      </w:r>
      <w:r w:rsidR="00A00397" w:rsidRPr="00524A62">
        <w:rPr>
          <w:rFonts w:cstheme="minorHAnsi"/>
          <w:lang w:val="en-US"/>
        </w:rPr>
        <w:t>notes</w:t>
      </w:r>
      <w:r w:rsidR="00B54A39" w:rsidRPr="00524A62">
        <w:rPr>
          <w:lang w:val="en-US"/>
        </w:rPr>
        <w:t>.</w:t>
      </w:r>
      <w:r w:rsidR="008C2F48" w:rsidRPr="00524A62">
        <w:rPr>
          <w:lang w:val="en-US"/>
        </w:rPr>
        <w:t xml:space="preserve"> </w:t>
      </w:r>
    </w:p>
    <w:p w14:paraId="72B53D91" w14:textId="70FD58FC" w:rsidR="00386538" w:rsidRPr="00524A62" w:rsidRDefault="005A2F8B" w:rsidP="001F1793">
      <w:pPr>
        <w:pStyle w:val="Heading4"/>
        <w:rPr>
          <w:rFonts w:asciiTheme="majorHAnsi" w:hAnsiTheme="majorHAnsi" w:cstheme="majorHAnsi"/>
          <w:b w:val="0"/>
          <w:bCs w:val="0"/>
          <w:sz w:val="24"/>
          <w:szCs w:val="24"/>
          <w:lang w:val="en-US"/>
        </w:rPr>
      </w:pPr>
      <w:r w:rsidRPr="00524A62">
        <w:rPr>
          <w:rFonts w:asciiTheme="majorHAnsi" w:hAnsiTheme="majorHAnsi" w:cstheme="majorHAnsi"/>
          <w:b w:val="0"/>
          <w:bCs w:val="0"/>
          <w:sz w:val="24"/>
          <w:szCs w:val="24"/>
          <w:lang w:val="en-US"/>
        </w:rPr>
        <w:t xml:space="preserve">6.4 </w:t>
      </w:r>
      <w:r w:rsidR="00386538" w:rsidRPr="00524A62">
        <w:rPr>
          <w:rFonts w:asciiTheme="majorHAnsi" w:hAnsiTheme="majorHAnsi" w:cstheme="majorHAnsi"/>
          <w:b w:val="0"/>
          <w:bCs w:val="0"/>
          <w:sz w:val="24"/>
          <w:szCs w:val="24"/>
          <w:lang w:val="en-US"/>
        </w:rPr>
        <w:t>Tax credits</w:t>
      </w:r>
    </w:p>
    <w:p w14:paraId="02A4481E" w14:textId="1A825255" w:rsidR="00386538" w:rsidRPr="00524A62" w:rsidRDefault="00386538" w:rsidP="008C2F48">
      <w:pPr>
        <w:rPr>
          <w:lang w:val="en-US"/>
        </w:rPr>
      </w:pPr>
      <w:r w:rsidRPr="00524A62">
        <w:rPr>
          <w:lang w:val="en-US"/>
        </w:rPr>
        <w:t>Tax credits are less common in Europe but sometimes still occur. This is when actors calculate their whole tax burden, and then can reduce their total tax burden by some amount (usually either a percent or a currency amount</w:t>
      </w:r>
      <w:r w:rsidR="009F0A98" w:rsidRPr="00524A62">
        <w:rPr>
          <w:lang w:val="en-US"/>
        </w:rPr>
        <w:t xml:space="preserve">). For example, </w:t>
      </w:r>
      <w:r w:rsidR="00964891" w:rsidRPr="00524A62">
        <w:rPr>
          <w:lang w:val="en-US"/>
        </w:rPr>
        <w:t>i</w:t>
      </w:r>
      <w:r w:rsidR="00A36397" w:rsidRPr="00524A62">
        <w:rPr>
          <w:lang w:val="en-US"/>
        </w:rPr>
        <w:t>n a country where a credit of 10% for renewables investment exists, a</w:t>
      </w:r>
      <w:r w:rsidR="00964891" w:rsidRPr="00524A62">
        <w:rPr>
          <w:lang w:val="en-US"/>
        </w:rPr>
        <w:t xml:space="preserve"> company </w:t>
      </w:r>
      <w:r w:rsidR="00A36397" w:rsidRPr="00524A62">
        <w:rPr>
          <w:lang w:val="en-US"/>
        </w:rPr>
        <w:t xml:space="preserve">with a 500,000 EUR tax burden could reduce their tax burden by investing </w:t>
      </w:r>
      <w:r w:rsidRPr="00524A62">
        <w:rPr>
          <w:lang w:val="en-US"/>
        </w:rPr>
        <w:t>100,000</w:t>
      </w:r>
      <w:r w:rsidR="00A36397" w:rsidRPr="00524A62">
        <w:rPr>
          <w:lang w:val="en-US"/>
        </w:rPr>
        <w:t xml:space="preserve"> EUR</w:t>
      </w:r>
      <w:r w:rsidRPr="00524A62">
        <w:rPr>
          <w:lang w:val="en-US"/>
        </w:rPr>
        <w:t xml:space="preserve"> in renewables (of which </w:t>
      </w:r>
      <w:r w:rsidR="00A36397" w:rsidRPr="00524A62">
        <w:rPr>
          <w:lang w:val="en-US"/>
        </w:rPr>
        <w:t>10</w:t>
      </w:r>
      <w:r w:rsidRPr="00524A62">
        <w:rPr>
          <w:lang w:val="en-US"/>
        </w:rPr>
        <w:t xml:space="preserve">% = </w:t>
      </w:r>
      <w:r w:rsidR="00A36397" w:rsidRPr="00524A62">
        <w:rPr>
          <w:lang w:val="en-US"/>
        </w:rPr>
        <w:t>10</w:t>
      </w:r>
      <w:r w:rsidRPr="00524A62">
        <w:rPr>
          <w:lang w:val="en-US"/>
        </w:rPr>
        <w:t>,000) now owes 4</w:t>
      </w:r>
      <w:r w:rsidR="00A36397" w:rsidRPr="00524A62">
        <w:rPr>
          <w:lang w:val="en-US"/>
        </w:rPr>
        <w:t>90</w:t>
      </w:r>
      <w:r w:rsidRPr="00524A62">
        <w:rPr>
          <w:lang w:val="en-US"/>
        </w:rPr>
        <w:t>,000</w:t>
      </w:r>
      <w:r w:rsidR="00A36397" w:rsidRPr="00524A62">
        <w:rPr>
          <w:lang w:val="en-US"/>
        </w:rPr>
        <w:t xml:space="preserve"> EUR. </w:t>
      </w:r>
    </w:p>
    <w:p w14:paraId="736F52CE" w14:textId="1E141306" w:rsidR="00386538" w:rsidRPr="00524A62" w:rsidRDefault="00386538" w:rsidP="00386538">
      <w:pPr>
        <w:rPr>
          <w:lang w:val="en-US"/>
        </w:rPr>
      </w:pPr>
      <w:r w:rsidRPr="00524A62">
        <w:rPr>
          <w:lang w:val="en-US"/>
        </w:rPr>
        <w:t xml:space="preserve">Tax credits can also be tax amounts (for example, up to $30,000 if you invest in solar panels). These are sometimes tied to refunds: if they are, and you end up paying only $20,000 in taxes, you would then receive a pay-out of $10,000. In this case, </w:t>
      </w:r>
      <w:r w:rsidR="008C2F48" w:rsidRPr="00524A62">
        <w:rPr>
          <w:lang w:val="en-US"/>
        </w:rPr>
        <w:t>we</w:t>
      </w:r>
      <w:r w:rsidRPr="00524A62">
        <w:rPr>
          <w:lang w:val="en-US"/>
        </w:rPr>
        <w:t xml:space="preserve"> code as tax_type “credit with refund”.</w:t>
      </w:r>
    </w:p>
    <w:p w14:paraId="713AF337" w14:textId="39239E65" w:rsidR="004E7451" w:rsidRPr="00524A62" w:rsidRDefault="004E7451" w:rsidP="004E7451">
      <w:pPr>
        <w:rPr>
          <w:lang w:val="en-US"/>
        </w:rPr>
      </w:pPr>
      <w:r w:rsidRPr="00524A62">
        <w:rPr>
          <w:b/>
          <w:bCs/>
          <w:lang w:val="en-US"/>
        </w:rPr>
        <w:t>NOTE:</w:t>
      </w:r>
      <w:r w:rsidRPr="00524A62">
        <w:rPr>
          <w:lang w:val="en-US"/>
        </w:rPr>
        <w:t xml:space="preserve"> the difference to tax reductions is that the reduction is a decrease in the </w:t>
      </w:r>
      <w:r w:rsidR="006762F7" w:rsidRPr="00524A62">
        <w:rPr>
          <w:lang w:val="en-US"/>
        </w:rPr>
        <w:t>rate</w:t>
      </w:r>
      <w:r w:rsidRPr="00524A62">
        <w:rPr>
          <w:lang w:val="en-US"/>
        </w:rPr>
        <w:t xml:space="preserve"> of taxation (of profits, income </w:t>
      </w:r>
      <w:r w:rsidR="001D04BF" w:rsidRPr="00524A62">
        <w:rPr>
          <w:lang w:val="en-US"/>
        </w:rPr>
        <w:t>etc.</w:t>
      </w:r>
      <w:r w:rsidRPr="00524A62">
        <w:rPr>
          <w:lang w:val="en-US"/>
        </w:rPr>
        <w:t>). The tax credit is a reduction which applies once the total taxes owed are calculated, on top of this.</w:t>
      </w:r>
    </w:p>
    <w:p w14:paraId="79D3B24B" w14:textId="2C24DEBA" w:rsidR="00386538" w:rsidRPr="00524A62" w:rsidRDefault="005A2F8B" w:rsidP="001F1793">
      <w:pPr>
        <w:pStyle w:val="Heading4"/>
        <w:rPr>
          <w:rFonts w:asciiTheme="majorHAnsi" w:hAnsiTheme="majorHAnsi" w:cstheme="majorHAnsi"/>
          <w:b w:val="0"/>
          <w:bCs w:val="0"/>
          <w:sz w:val="24"/>
          <w:szCs w:val="24"/>
          <w:lang w:val="en-US"/>
        </w:rPr>
      </w:pPr>
      <w:r w:rsidRPr="00524A62">
        <w:rPr>
          <w:rFonts w:asciiTheme="majorHAnsi" w:hAnsiTheme="majorHAnsi" w:cstheme="majorHAnsi"/>
          <w:b w:val="0"/>
          <w:bCs w:val="0"/>
          <w:sz w:val="24"/>
          <w:szCs w:val="24"/>
          <w:lang w:val="en-US"/>
        </w:rPr>
        <w:t xml:space="preserve">6.5 </w:t>
      </w:r>
      <w:r w:rsidR="00386538" w:rsidRPr="00524A62">
        <w:rPr>
          <w:rFonts w:asciiTheme="majorHAnsi" w:hAnsiTheme="majorHAnsi" w:cstheme="majorHAnsi"/>
          <w:b w:val="0"/>
          <w:bCs w:val="0"/>
          <w:sz w:val="24"/>
          <w:szCs w:val="24"/>
          <w:lang w:val="en-US"/>
        </w:rPr>
        <w:t>Tax refund</w:t>
      </w:r>
    </w:p>
    <w:p w14:paraId="496BD34B" w14:textId="17458779" w:rsidR="00386538" w:rsidRPr="00524A62" w:rsidRDefault="00386538" w:rsidP="00386538">
      <w:pPr>
        <w:rPr>
          <w:lang w:val="en-US"/>
        </w:rPr>
      </w:pPr>
      <w:r w:rsidRPr="00524A62">
        <w:rPr>
          <w:lang w:val="en-US"/>
        </w:rPr>
        <w:t xml:space="preserve">A tax refund is when you receive money back after paying your taxes (relatively rare in Europe). For example, if you paid VAT on equipment, in certain cases (if your project isn’t yet profitable) you can apply to get this money back. This can also occur if you receive a tax credit that has a cash amount (see example above – should be coded under tax_type “tax credit with refund”). </w:t>
      </w:r>
    </w:p>
    <w:p w14:paraId="13F45AF6" w14:textId="61E8B93B" w:rsidR="0049018D" w:rsidRPr="00524A62" w:rsidRDefault="00B843CE" w:rsidP="002D3D02">
      <w:pPr>
        <w:pStyle w:val="Heading3"/>
        <w:numPr>
          <w:ilvl w:val="0"/>
          <w:numId w:val="22"/>
        </w:numPr>
        <w:spacing w:before="40" w:after="60"/>
        <w:ind w:left="714" w:hanging="357"/>
        <w:rPr>
          <w:rFonts w:asciiTheme="majorHAnsi" w:hAnsiTheme="majorHAnsi" w:cstheme="majorHAnsi"/>
          <w:color w:val="387782" w:themeColor="accent1" w:themeShade="BF"/>
          <w:sz w:val="24"/>
          <w:szCs w:val="24"/>
          <w:lang w:val="en-US"/>
        </w:rPr>
      </w:pPr>
      <w:bookmarkStart w:id="36" w:name="_Toc219972884"/>
      <w:r w:rsidRPr="00524A62">
        <w:rPr>
          <w:rFonts w:asciiTheme="majorHAnsi" w:hAnsiTheme="majorHAnsi" w:cstheme="majorHAnsi"/>
          <w:color w:val="387782" w:themeColor="accent1" w:themeShade="BF"/>
          <w:sz w:val="24"/>
          <w:szCs w:val="24"/>
          <w:lang w:val="en-US"/>
        </w:rPr>
        <w:t>Grants</w:t>
      </w:r>
      <w:bookmarkEnd w:id="36"/>
    </w:p>
    <w:p w14:paraId="20525833" w14:textId="10CA72DB" w:rsidR="0049018D" w:rsidRPr="00524A62" w:rsidRDefault="00F9711B" w:rsidP="00AC24B1">
      <w:pPr>
        <w:rPr>
          <w:rFonts w:cstheme="minorHAnsi"/>
          <w:lang w:val="en-US"/>
        </w:rPr>
      </w:pPr>
      <w:r w:rsidRPr="00524A62">
        <w:rPr>
          <w:rFonts w:cstheme="minorHAnsi"/>
          <w:lang w:val="en-US"/>
        </w:rPr>
        <w:t>Grants</w:t>
      </w:r>
      <w:r w:rsidR="00AC24B1" w:rsidRPr="00524A62">
        <w:rPr>
          <w:rFonts w:cstheme="minorHAnsi"/>
          <w:lang w:val="en-US"/>
        </w:rPr>
        <w:t xml:space="preserve"> include different instruments, where the government pays part of the cost for a renewable energy installation. For example</w:t>
      </w:r>
      <w:r w:rsidR="00365F7E" w:rsidRPr="00524A62">
        <w:rPr>
          <w:rFonts w:cstheme="minorHAnsi"/>
          <w:lang w:val="en-US"/>
        </w:rPr>
        <w:t xml:space="preserve">, </w:t>
      </w:r>
      <w:r w:rsidR="00AC24B1" w:rsidRPr="00524A62">
        <w:rPr>
          <w:rFonts w:cstheme="minorHAnsi"/>
          <w:lang w:val="en-US"/>
        </w:rPr>
        <w:t xml:space="preserve">in an investment </w:t>
      </w:r>
      <w:r w:rsidR="00C11751" w:rsidRPr="00524A62">
        <w:rPr>
          <w:rFonts w:cstheme="minorHAnsi"/>
          <w:lang w:val="en-US"/>
        </w:rPr>
        <w:t>grant</w:t>
      </w:r>
      <w:r w:rsidR="00AC24B1" w:rsidRPr="00524A62">
        <w:rPr>
          <w:rFonts w:cstheme="minorHAnsi"/>
          <w:lang w:val="en-US"/>
        </w:rPr>
        <w:t xml:space="preserve">, the government pays part of the cost of investing in an installation, </w:t>
      </w:r>
      <w:r w:rsidR="0049018D" w:rsidRPr="00524A62">
        <w:rPr>
          <w:rFonts w:cstheme="minorHAnsi"/>
          <w:lang w:val="en-US"/>
        </w:rPr>
        <w:t xml:space="preserve">so that the amount paid by the investor </w:t>
      </w:r>
      <w:r w:rsidR="0049018D" w:rsidRPr="00524A62">
        <w:rPr>
          <w:rFonts w:eastAsia="Calibri" w:cstheme="minorHAnsi"/>
          <w:lang w:val="en-US"/>
        </w:rPr>
        <w:t>a</w:t>
      </w:r>
      <w:r w:rsidR="0049018D" w:rsidRPr="00524A62">
        <w:rPr>
          <w:rFonts w:cstheme="minorHAnsi"/>
          <w:lang w:val="en-US"/>
        </w:rPr>
        <w:t xml:space="preserve">nd effectively the project cost is decreased. For </w:t>
      </w:r>
      <w:r w:rsidR="00891812" w:rsidRPr="00524A62">
        <w:rPr>
          <w:rFonts w:cstheme="minorHAnsi"/>
          <w:lang w:val="en-US"/>
        </w:rPr>
        <w:t>grants</w:t>
      </w:r>
      <w:r w:rsidR="0049018D" w:rsidRPr="00524A62">
        <w:rPr>
          <w:rFonts w:cstheme="minorHAnsi"/>
          <w:lang w:val="en-US"/>
        </w:rPr>
        <w:t>, the most relevant data is on the level and the cap.</w:t>
      </w:r>
    </w:p>
    <w:p w14:paraId="090CB235" w14:textId="57FAD5A8" w:rsidR="00EE3B08" w:rsidRPr="00524A62" w:rsidRDefault="000378D8" w:rsidP="00AC24B1">
      <w:pPr>
        <w:rPr>
          <w:rFonts w:cstheme="minorHAnsi"/>
          <w:lang w:val="en-US"/>
        </w:rPr>
      </w:pPr>
      <w:r w:rsidRPr="00524A62">
        <w:rPr>
          <w:rFonts w:cstheme="minorHAnsi"/>
          <w:lang w:val="en-US"/>
        </w:rPr>
        <w:t>NOTE</w:t>
      </w:r>
      <w:r w:rsidR="00EE3B08" w:rsidRPr="00524A62">
        <w:rPr>
          <w:rFonts w:cstheme="minorHAnsi"/>
          <w:lang w:val="en-US"/>
        </w:rPr>
        <w:t xml:space="preserve">: if there are </w:t>
      </w:r>
      <w:r w:rsidR="00C11751" w:rsidRPr="00524A62">
        <w:rPr>
          <w:rFonts w:cstheme="minorHAnsi"/>
          <w:lang w:val="en-US"/>
        </w:rPr>
        <w:t>grant</w:t>
      </w:r>
      <w:r w:rsidR="00EE3B08" w:rsidRPr="00524A62">
        <w:rPr>
          <w:rFonts w:cstheme="minorHAnsi"/>
          <w:lang w:val="en-US"/>
        </w:rPr>
        <w:t xml:space="preserve"> ranges without information on the conditions (</w:t>
      </w:r>
      <w:r w:rsidR="001D04BF" w:rsidRPr="00524A62">
        <w:rPr>
          <w:rFonts w:cstheme="minorHAnsi"/>
          <w:lang w:val="en-US"/>
        </w:rPr>
        <w:t>i.e.,</w:t>
      </w:r>
      <w:r w:rsidR="00BA5518" w:rsidRPr="00524A62">
        <w:rPr>
          <w:rFonts w:cstheme="minorHAnsi"/>
          <w:lang w:val="en-US"/>
        </w:rPr>
        <w:t xml:space="preserve"> “</w:t>
      </w:r>
      <w:r w:rsidR="00C11751" w:rsidRPr="00524A62">
        <w:rPr>
          <w:rFonts w:cstheme="minorHAnsi"/>
          <w:lang w:val="en-US"/>
        </w:rPr>
        <w:t>grant</w:t>
      </w:r>
      <w:r w:rsidR="00BA5518" w:rsidRPr="00524A62">
        <w:rPr>
          <w:rFonts w:cstheme="minorHAnsi"/>
          <w:lang w:val="en-US"/>
        </w:rPr>
        <w:t xml:space="preserve"> between 50-60% of investment cost), then we record the highest amount</w:t>
      </w:r>
      <w:r w:rsidR="008C2BD7" w:rsidRPr="00524A62">
        <w:rPr>
          <w:rFonts w:cstheme="minorHAnsi"/>
          <w:lang w:val="en-US"/>
        </w:rPr>
        <w:t xml:space="preserve">, and record the range in the </w:t>
      </w:r>
      <w:r w:rsidR="00A00397" w:rsidRPr="00524A62">
        <w:rPr>
          <w:rFonts w:cstheme="minorHAnsi"/>
          <w:lang w:val="en-US"/>
        </w:rPr>
        <w:t>notes</w:t>
      </w:r>
      <w:r w:rsidR="008C2BD7" w:rsidRPr="00524A62">
        <w:rPr>
          <w:rFonts w:cstheme="minorHAnsi"/>
          <w:lang w:val="en-US"/>
        </w:rPr>
        <w:t>.</w:t>
      </w:r>
      <w:r w:rsidR="00BA5518" w:rsidRPr="00524A62">
        <w:rPr>
          <w:rFonts w:cstheme="minorHAnsi"/>
          <w:lang w:val="en-US"/>
        </w:rPr>
        <w:t xml:space="preserve"> </w:t>
      </w:r>
    </w:p>
    <w:p w14:paraId="120E6549" w14:textId="496F86E0" w:rsidR="0049018D" w:rsidRPr="00524A62" w:rsidRDefault="0049018D" w:rsidP="002D3D02">
      <w:pPr>
        <w:pStyle w:val="Heading3"/>
        <w:numPr>
          <w:ilvl w:val="0"/>
          <w:numId w:val="22"/>
        </w:numPr>
        <w:spacing w:before="40" w:after="60"/>
        <w:ind w:left="714" w:hanging="357"/>
        <w:rPr>
          <w:rFonts w:asciiTheme="majorHAnsi" w:hAnsiTheme="majorHAnsi" w:cstheme="majorHAnsi"/>
          <w:color w:val="387782" w:themeColor="accent1" w:themeShade="BF"/>
          <w:sz w:val="24"/>
          <w:szCs w:val="24"/>
          <w:lang w:val="en-US"/>
        </w:rPr>
      </w:pPr>
      <w:bookmarkStart w:id="37" w:name="_Toc219972885"/>
      <w:r w:rsidRPr="00524A62">
        <w:rPr>
          <w:rFonts w:asciiTheme="majorHAnsi" w:hAnsiTheme="majorHAnsi" w:cstheme="majorHAnsi"/>
          <w:color w:val="387782" w:themeColor="accent1" w:themeShade="BF"/>
          <w:sz w:val="24"/>
          <w:szCs w:val="24"/>
          <w:lang w:val="en-US"/>
        </w:rPr>
        <w:t>Emission trading (“ETS”): cap-and-trade schemes</w:t>
      </w:r>
      <w:bookmarkEnd w:id="37"/>
    </w:p>
    <w:p w14:paraId="12354086" w14:textId="77777777" w:rsidR="00FF19F5" w:rsidRPr="00524A62" w:rsidRDefault="0049018D" w:rsidP="0049018D">
      <w:pPr>
        <w:rPr>
          <w:rFonts w:cstheme="minorHAnsi"/>
          <w:lang w:val="en-US"/>
        </w:rPr>
      </w:pPr>
      <w:r w:rsidRPr="00524A62">
        <w:rPr>
          <w:rFonts w:cstheme="minorHAnsi"/>
          <w:lang w:val="en-US"/>
        </w:rPr>
        <w:t>The instrument Emission trading indirectly supports renewable power, as it makes carbon-intensive power generation relatively more expensive. We record data on mandatory cap-and-trade schemes.</w:t>
      </w:r>
      <w:r w:rsidR="00FF19F5" w:rsidRPr="00524A62">
        <w:rPr>
          <w:rFonts w:cstheme="minorHAnsi"/>
          <w:lang w:val="en-US"/>
        </w:rPr>
        <w:t xml:space="preserve"> Data are from the World Bank Carbon Pricing Dashboard, and must be cited as such for subsequent analyses. </w:t>
      </w:r>
    </w:p>
    <w:p w14:paraId="4D50634E" w14:textId="5DFB9C16" w:rsidR="0049018D" w:rsidRPr="00524A62" w:rsidRDefault="0049018D" w:rsidP="0049018D">
      <w:pPr>
        <w:rPr>
          <w:lang w:val="en-US" w:eastAsia="en-IN"/>
        </w:rPr>
      </w:pPr>
      <w:r w:rsidRPr="00524A62">
        <w:rPr>
          <w:rFonts w:cstheme="minorHAnsi"/>
          <w:lang w:val="en-US"/>
        </w:rPr>
        <w:t xml:space="preserve">We record information on the prices for primary markets in “level_1” and for secondary markets in “level_2”. </w:t>
      </w:r>
      <w:r w:rsidR="00DD62C6" w:rsidRPr="00524A62">
        <w:rPr>
          <w:rFonts w:cstheme="minorHAnsi"/>
          <w:lang w:val="en-US"/>
        </w:rPr>
        <w:t xml:space="preserve">The ETS is </w:t>
      </w:r>
      <w:r w:rsidR="00470DB1" w:rsidRPr="00524A62">
        <w:rPr>
          <w:rFonts w:cstheme="minorHAnsi"/>
          <w:lang w:val="en-US"/>
        </w:rPr>
        <w:t xml:space="preserve">only recorded if it applies to the electricity sector. In this case, it is coded as applying to “all renewables” as its technology type, as it makes them more competitive vis-à-vis fossil fuels.  </w:t>
      </w:r>
    </w:p>
    <w:p w14:paraId="1FFE939C" w14:textId="244985D4" w:rsidR="0049018D" w:rsidRPr="00524A62" w:rsidRDefault="000378D8" w:rsidP="0049018D">
      <w:pPr>
        <w:rPr>
          <w:rFonts w:cstheme="minorHAnsi"/>
          <w:lang w:val="en-US"/>
        </w:rPr>
      </w:pPr>
      <w:r w:rsidRPr="00524A62">
        <w:rPr>
          <w:rFonts w:cstheme="minorHAnsi"/>
          <w:b/>
          <w:bCs/>
          <w:lang w:val="en-US"/>
        </w:rPr>
        <w:t>NOTE</w:t>
      </w:r>
      <w:r w:rsidR="0049018D" w:rsidRPr="00524A62">
        <w:rPr>
          <w:rFonts w:cstheme="minorHAnsi"/>
          <w:b/>
          <w:bCs/>
          <w:lang w:val="en-US"/>
        </w:rPr>
        <w:t>:</w:t>
      </w:r>
      <w:r w:rsidR="0049018D" w:rsidRPr="00524A62">
        <w:rPr>
          <w:rFonts w:cstheme="minorHAnsi"/>
          <w:lang w:val="en-US"/>
        </w:rPr>
        <w:t xml:space="preserve"> Supra- or subnational emissions trading systems, such as the European Emission Trading Scheme are not included in this data, as they are not national-level policy instruments.</w:t>
      </w:r>
    </w:p>
    <w:p w14:paraId="04718D36" w14:textId="4EE2ACC5" w:rsidR="0049018D" w:rsidRPr="00524A62" w:rsidRDefault="0049018D" w:rsidP="002D3D02">
      <w:pPr>
        <w:pStyle w:val="Heading3"/>
        <w:numPr>
          <w:ilvl w:val="0"/>
          <w:numId w:val="22"/>
        </w:numPr>
        <w:spacing w:before="40" w:after="60"/>
        <w:ind w:left="714" w:hanging="357"/>
        <w:rPr>
          <w:rFonts w:asciiTheme="majorHAnsi" w:hAnsiTheme="majorHAnsi" w:cstheme="majorHAnsi"/>
          <w:color w:val="387782" w:themeColor="accent1" w:themeShade="BF"/>
          <w:sz w:val="24"/>
          <w:szCs w:val="24"/>
          <w:lang w:val="en-US"/>
        </w:rPr>
      </w:pPr>
      <w:bookmarkStart w:id="38" w:name="_Toc219972886"/>
      <w:r w:rsidRPr="00524A62">
        <w:rPr>
          <w:rFonts w:asciiTheme="majorHAnsi" w:hAnsiTheme="majorHAnsi" w:cstheme="majorHAnsi"/>
          <w:color w:val="387782" w:themeColor="accent1" w:themeShade="BF"/>
          <w:sz w:val="24"/>
          <w:szCs w:val="24"/>
          <w:lang w:val="en-US"/>
        </w:rPr>
        <w:lastRenderedPageBreak/>
        <w:t>Tradeable green certificates (TGCs)</w:t>
      </w:r>
      <w:bookmarkEnd w:id="38"/>
    </w:p>
    <w:p w14:paraId="1342F350" w14:textId="77777777" w:rsidR="0049018D" w:rsidRPr="00524A62" w:rsidRDefault="0049018D" w:rsidP="0049018D">
      <w:pPr>
        <w:rPr>
          <w:rFonts w:cstheme="minorHAnsi"/>
          <w:lang w:val="en-US"/>
        </w:rPr>
      </w:pPr>
      <w:r w:rsidRPr="00524A62">
        <w:rPr>
          <w:rFonts w:cstheme="minorHAnsi"/>
          <w:lang w:val="en-US"/>
        </w:rPr>
        <w:t>With the introduction of a tradeable green certificates scheme, a government sets a long-term goal for the share of renewable power, and mandates all suppliers to obtain certificates as proof that they have bought sufficient amounts of renewables in their power mix. This way, a separate market for renewables certificates is created, leading to an additional revenue stream for renewable generators under the scheme. We record the following for TGCs:</w:t>
      </w:r>
    </w:p>
    <w:p w14:paraId="0A7CFB5D" w14:textId="7F983B4C" w:rsidR="0049018D" w:rsidRPr="00524A62" w:rsidRDefault="0049018D" w:rsidP="0049018D">
      <w:pPr>
        <w:pStyle w:val="Caption"/>
        <w:keepNext/>
        <w:rPr>
          <w:lang w:val="en-US"/>
        </w:rPr>
      </w:pPr>
      <w:r w:rsidRPr="00524A62">
        <w:rPr>
          <w:lang w:val="en-US"/>
        </w:rPr>
        <w:t xml:space="preserve">Table </w:t>
      </w:r>
      <w:r w:rsidRPr="00524A62">
        <w:rPr>
          <w:lang w:val="en-US"/>
        </w:rPr>
        <w:fldChar w:fldCharType="begin"/>
      </w:r>
      <w:r w:rsidRPr="00524A62">
        <w:rPr>
          <w:lang w:val="en-US"/>
        </w:rPr>
        <w:instrText xml:space="preserve"> SEQ Table \* ARABIC </w:instrText>
      </w:r>
      <w:r w:rsidRPr="00524A62">
        <w:rPr>
          <w:lang w:val="en-US"/>
        </w:rPr>
        <w:fldChar w:fldCharType="separate"/>
      </w:r>
      <w:r w:rsidR="00401CE0">
        <w:rPr>
          <w:noProof/>
          <w:lang w:val="en-US"/>
        </w:rPr>
        <w:t>25</w:t>
      </w:r>
      <w:r w:rsidRPr="00524A62">
        <w:rPr>
          <w:noProof/>
          <w:lang w:val="en-US"/>
        </w:rPr>
        <w:fldChar w:fldCharType="end"/>
      </w:r>
      <w:r w:rsidRPr="00524A62">
        <w:rPr>
          <w:lang w:val="en-US"/>
        </w:rPr>
        <w:t>: Variables that apply only to TGCs</w:t>
      </w:r>
    </w:p>
    <w:tbl>
      <w:tblPr>
        <w:tblStyle w:val="TableGrid"/>
        <w:tblW w:w="0" w:type="auto"/>
        <w:tblLayout w:type="fixed"/>
        <w:tblLook w:val="04A0" w:firstRow="1" w:lastRow="0" w:firstColumn="1" w:lastColumn="0" w:noHBand="0" w:noVBand="1"/>
      </w:tblPr>
      <w:tblGrid>
        <w:gridCol w:w="2547"/>
        <w:gridCol w:w="3260"/>
        <w:gridCol w:w="3255"/>
      </w:tblGrid>
      <w:tr w:rsidR="0049018D" w:rsidRPr="00524A62" w14:paraId="703DD42E" w14:textId="77777777" w:rsidTr="00EC033A">
        <w:trPr>
          <w:trHeight w:val="90"/>
        </w:trPr>
        <w:tc>
          <w:tcPr>
            <w:tcW w:w="2547" w:type="dxa"/>
            <w:noWrap/>
          </w:tcPr>
          <w:p w14:paraId="77C3D435" w14:textId="77777777" w:rsidR="0049018D" w:rsidRPr="00524A62" w:rsidRDefault="0049018D" w:rsidP="0005606D">
            <w:pPr>
              <w:rPr>
                <w:rFonts w:cstheme="minorHAnsi"/>
                <w:lang w:val="en-US"/>
              </w:rPr>
            </w:pPr>
            <w:r w:rsidRPr="00524A62">
              <w:rPr>
                <w:rFonts w:cstheme="minorHAnsi"/>
                <w:b/>
                <w:bCs/>
                <w:lang w:val="en-US" w:eastAsia="en-IN"/>
              </w:rPr>
              <w:t>Variable name</w:t>
            </w:r>
          </w:p>
        </w:tc>
        <w:tc>
          <w:tcPr>
            <w:tcW w:w="3260" w:type="dxa"/>
            <w:noWrap/>
          </w:tcPr>
          <w:p w14:paraId="2EB0E2A7" w14:textId="77777777" w:rsidR="0049018D" w:rsidRPr="00524A62" w:rsidRDefault="0049018D" w:rsidP="0005606D">
            <w:pPr>
              <w:rPr>
                <w:rFonts w:cstheme="minorHAnsi"/>
                <w:lang w:val="en-US"/>
              </w:rPr>
            </w:pPr>
            <w:r w:rsidRPr="00524A62">
              <w:rPr>
                <w:rFonts w:cstheme="minorHAnsi"/>
                <w:b/>
                <w:bCs/>
                <w:lang w:val="en-US" w:eastAsia="en-IN"/>
              </w:rPr>
              <w:t>Description</w:t>
            </w:r>
          </w:p>
        </w:tc>
        <w:tc>
          <w:tcPr>
            <w:tcW w:w="3255" w:type="dxa"/>
            <w:noWrap/>
            <w:hideMark/>
          </w:tcPr>
          <w:p w14:paraId="52F3DBA3" w14:textId="77777777" w:rsidR="0049018D" w:rsidRPr="00524A62" w:rsidRDefault="0049018D" w:rsidP="0005606D">
            <w:pPr>
              <w:rPr>
                <w:rFonts w:cstheme="minorHAnsi"/>
                <w:lang w:val="en-US"/>
              </w:rPr>
            </w:pPr>
            <w:r w:rsidRPr="00524A62">
              <w:rPr>
                <w:rFonts w:cstheme="minorHAnsi"/>
                <w:b/>
                <w:bCs/>
                <w:lang w:val="en-US" w:eastAsia="en-IN"/>
              </w:rPr>
              <w:t>Values</w:t>
            </w:r>
          </w:p>
        </w:tc>
      </w:tr>
      <w:tr w:rsidR="0049018D" w:rsidRPr="00524A62" w14:paraId="054113CC" w14:textId="77777777" w:rsidTr="00EC033A">
        <w:trPr>
          <w:trHeight w:val="90"/>
        </w:trPr>
        <w:tc>
          <w:tcPr>
            <w:tcW w:w="2547" w:type="dxa"/>
            <w:noWrap/>
          </w:tcPr>
          <w:p w14:paraId="0F01CBFF" w14:textId="77777777" w:rsidR="0049018D" w:rsidRPr="00524A62" w:rsidRDefault="0049018D" w:rsidP="0005606D">
            <w:pPr>
              <w:rPr>
                <w:rFonts w:cstheme="minorHAnsi"/>
                <w:lang w:val="en-US"/>
              </w:rPr>
            </w:pPr>
            <w:r w:rsidRPr="00524A62">
              <w:rPr>
                <w:rFonts w:cstheme="minorHAnsi"/>
                <w:lang w:val="en-US"/>
              </w:rPr>
              <w:t>TGC_certificates_granted</w:t>
            </w:r>
          </w:p>
        </w:tc>
        <w:tc>
          <w:tcPr>
            <w:tcW w:w="3260" w:type="dxa"/>
            <w:noWrap/>
          </w:tcPr>
          <w:p w14:paraId="52FB9CAC" w14:textId="77777777" w:rsidR="0049018D" w:rsidRPr="00524A62" w:rsidRDefault="0049018D" w:rsidP="0005606D">
            <w:pPr>
              <w:pStyle w:val="Default"/>
              <w:rPr>
                <w:rFonts w:asciiTheme="minorHAnsi" w:hAnsiTheme="minorHAnsi" w:cstheme="minorHAnsi"/>
                <w:sz w:val="22"/>
                <w:szCs w:val="22"/>
              </w:rPr>
            </w:pPr>
            <w:r w:rsidRPr="00524A62">
              <w:rPr>
                <w:rFonts w:asciiTheme="minorHAnsi" w:hAnsiTheme="minorHAnsi" w:cstheme="minorHAnsi"/>
                <w:sz w:val="22"/>
                <w:szCs w:val="22"/>
              </w:rPr>
              <w:t xml:space="preserve">The number of certificates awarded per technology (if different for different renewable technologies) </w:t>
            </w:r>
          </w:p>
        </w:tc>
        <w:tc>
          <w:tcPr>
            <w:tcW w:w="3255" w:type="dxa"/>
            <w:noWrap/>
          </w:tcPr>
          <w:p w14:paraId="19B664AE" w14:textId="77777777" w:rsidR="0049018D" w:rsidRPr="00524A62" w:rsidRDefault="0049018D" w:rsidP="0005606D">
            <w:pPr>
              <w:rPr>
                <w:rFonts w:cstheme="minorHAnsi"/>
                <w:lang w:val="en-US"/>
              </w:rPr>
            </w:pPr>
            <w:r w:rsidRPr="00524A62">
              <w:rPr>
                <w:rFonts w:cstheme="minorHAnsi"/>
                <w:lang w:val="en-US"/>
              </w:rPr>
              <w:t>Numeric</w:t>
            </w:r>
          </w:p>
        </w:tc>
      </w:tr>
      <w:tr w:rsidR="0049018D" w:rsidRPr="00524A62" w14:paraId="686A8270" w14:textId="77777777" w:rsidTr="00EC033A">
        <w:trPr>
          <w:trHeight w:val="90"/>
        </w:trPr>
        <w:tc>
          <w:tcPr>
            <w:tcW w:w="2547" w:type="dxa"/>
            <w:noWrap/>
            <w:hideMark/>
          </w:tcPr>
          <w:p w14:paraId="2CA12F82" w14:textId="77777777" w:rsidR="0049018D" w:rsidRPr="00524A62" w:rsidRDefault="0049018D" w:rsidP="0005606D">
            <w:pPr>
              <w:rPr>
                <w:rFonts w:cstheme="minorHAnsi"/>
                <w:lang w:val="en-US"/>
              </w:rPr>
            </w:pPr>
            <w:r w:rsidRPr="00524A62">
              <w:rPr>
                <w:rFonts w:cstheme="minorHAnsi"/>
                <w:lang w:val="en-US"/>
              </w:rPr>
              <w:t>TGC_price_max</w:t>
            </w:r>
          </w:p>
        </w:tc>
        <w:tc>
          <w:tcPr>
            <w:tcW w:w="3260" w:type="dxa"/>
            <w:noWrap/>
          </w:tcPr>
          <w:p w14:paraId="3EA8631F" w14:textId="77777777" w:rsidR="0049018D" w:rsidRPr="00524A62" w:rsidRDefault="0049018D" w:rsidP="0005606D">
            <w:pPr>
              <w:rPr>
                <w:rFonts w:cstheme="minorHAnsi"/>
                <w:lang w:val="en-US"/>
              </w:rPr>
            </w:pPr>
            <w:r w:rsidRPr="00524A62">
              <w:rPr>
                <w:rFonts w:cstheme="minorHAnsi"/>
                <w:lang w:val="en-US"/>
              </w:rPr>
              <w:t>The maximum permissible price for green certificates (ceiling price)</w:t>
            </w:r>
          </w:p>
        </w:tc>
        <w:tc>
          <w:tcPr>
            <w:tcW w:w="3255" w:type="dxa"/>
            <w:noWrap/>
            <w:hideMark/>
          </w:tcPr>
          <w:p w14:paraId="5CEF6E62" w14:textId="77777777" w:rsidR="0049018D" w:rsidRPr="00524A62" w:rsidRDefault="0049018D" w:rsidP="0005606D">
            <w:pPr>
              <w:rPr>
                <w:rFonts w:cstheme="minorHAnsi"/>
                <w:lang w:val="en-US"/>
              </w:rPr>
            </w:pPr>
            <w:r w:rsidRPr="00524A62">
              <w:rPr>
                <w:rFonts w:cstheme="minorHAnsi"/>
                <w:lang w:val="en-US"/>
              </w:rPr>
              <w:t>Numeric</w:t>
            </w:r>
          </w:p>
        </w:tc>
      </w:tr>
      <w:tr w:rsidR="0049018D" w:rsidRPr="00524A62" w14:paraId="45CD61C7" w14:textId="77777777" w:rsidTr="00EC033A">
        <w:trPr>
          <w:trHeight w:val="90"/>
        </w:trPr>
        <w:tc>
          <w:tcPr>
            <w:tcW w:w="2547" w:type="dxa"/>
            <w:noWrap/>
            <w:hideMark/>
          </w:tcPr>
          <w:p w14:paraId="5D5360F3" w14:textId="77777777" w:rsidR="0049018D" w:rsidRPr="00524A62" w:rsidRDefault="0049018D" w:rsidP="0005606D">
            <w:pPr>
              <w:rPr>
                <w:rFonts w:cstheme="minorHAnsi"/>
                <w:lang w:val="en-US"/>
              </w:rPr>
            </w:pPr>
            <w:r w:rsidRPr="00524A62">
              <w:rPr>
                <w:rFonts w:cstheme="minorHAnsi"/>
                <w:lang w:val="en-US"/>
              </w:rPr>
              <w:t>TGC_price_min</w:t>
            </w:r>
          </w:p>
        </w:tc>
        <w:tc>
          <w:tcPr>
            <w:tcW w:w="3260" w:type="dxa"/>
            <w:noWrap/>
          </w:tcPr>
          <w:p w14:paraId="62BB3054" w14:textId="46D280D8" w:rsidR="0049018D" w:rsidRPr="00524A62" w:rsidRDefault="0049018D" w:rsidP="0005606D">
            <w:pPr>
              <w:rPr>
                <w:rFonts w:cstheme="minorHAnsi"/>
                <w:lang w:val="en-US"/>
              </w:rPr>
            </w:pPr>
            <w:r w:rsidRPr="00524A62">
              <w:rPr>
                <w:rFonts w:cstheme="minorHAnsi"/>
                <w:lang w:val="en-US"/>
              </w:rPr>
              <w:t>The lowest permissible price for green certificates</w:t>
            </w:r>
            <w:r w:rsidR="005C136B" w:rsidRPr="00524A62">
              <w:rPr>
                <w:rFonts w:cstheme="minorHAnsi"/>
                <w:lang w:val="en-US"/>
              </w:rPr>
              <w:t xml:space="preserve"> (or floor price)</w:t>
            </w:r>
          </w:p>
        </w:tc>
        <w:tc>
          <w:tcPr>
            <w:tcW w:w="3255" w:type="dxa"/>
            <w:noWrap/>
            <w:hideMark/>
          </w:tcPr>
          <w:p w14:paraId="4239FDE0" w14:textId="77777777" w:rsidR="0049018D" w:rsidRPr="00524A62" w:rsidRDefault="0049018D" w:rsidP="0005606D">
            <w:pPr>
              <w:rPr>
                <w:rFonts w:cstheme="minorHAnsi"/>
                <w:lang w:val="en-US"/>
              </w:rPr>
            </w:pPr>
            <w:r w:rsidRPr="00524A62">
              <w:rPr>
                <w:rFonts w:cstheme="minorHAnsi"/>
                <w:lang w:val="en-US"/>
              </w:rPr>
              <w:t>Numeric</w:t>
            </w:r>
          </w:p>
        </w:tc>
      </w:tr>
      <w:tr w:rsidR="0049018D" w:rsidRPr="00524A62" w14:paraId="11D3BC80" w14:textId="77777777" w:rsidTr="00EC033A">
        <w:trPr>
          <w:trHeight w:val="90"/>
        </w:trPr>
        <w:tc>
          <w:tcPr>
            <w:tcW w:w="2547" w:type="dxa"/>
            <w:noWrap/>
            <w:hideMark/>
          </w:tcPr>
          <w:p w14:paraId="078771EC" w14:textId="77777777" w:rsidR="0049018D" w:rsidRPr="00524A62" w:rsidRDefault="0049018D" w:rsidP="0005606D">
            <w:pPr>
              <w:rPr>
                <w:rFonts w:cstheme="minorHAnsi"/>
                <w:lang w:val="en-US"/>
              </w:rPr>
            </w:pPr>
            <w:r w:rsidRPr="00524A62">
              <w:rPr>
                <w:rFonts w:cstheme="minorHAnsi"/>
                <w:lang w:val="en-US"/>
              </w:rPr>
              <w:t>TGC_price_unit</w:t>
            </w:r>
          </w:p>
        </w:tc>
        <w:tc>
          <w:tcPr>
            <w:tcW w:w="3260" w:type="dxa"/>
            <w:noWrap/>
          </w:tcPr>
          <w:p w14:paraId="722A2DB8" w14:textId="77777777" w:rsidR="0049018D" w:rsidRPr="00524A62" w:rsidRDefault="0049018D" w:rsidP="0005606D">
            <w:pPr>
              <w:pStyle w:val="Default"/>
              <w:rPr>
                <w:rFonts w:asciiTheme="minorHAnsi" w:hAnsiTheme="minorHAnsi" w:cstheme="minorHAnsi"/>
                <w:sz w:val="22"/>
                <w:szCs w:val="22"/>
              </w:rPr>
            </w:pPr>
            <w:r w:rsidRPr="00524A62">
              <w:rPr>
                <w:rFonts w:asciiTheme="minorHAnsi" w:hAnsiTheme="minorHAnsi" w:cstheme="minorHAnsi"/>
                <w:sz w:val="22"/>
                <w:szCs w:val="22"/>
              </w:rPr>
              <w:t xml:space="preserve">The unit of the TGC price (both floor and ceiling prices) </w:t>
            </w:r>
          </w:p>
          <w:p w14:paraId="5728D484" w14:textId="77777777" w:rsidR="0049018D" w:rsidRPr="00524A62" w:rsidRDefault="0049018D" w:rsidP="0005606D">
            <w:pPr>
              <w:rPr>
                <w:rFonts w:cstheme="minorHAnsi"/>
                <w:lang w:val="en-US"/>
              </w:rPr>
            </w:pPr>
          </w:p>
        </w:tc>
        <w:tc>
          <w:tcPr>
            <w:tcW w:w="3255" w:type="dxa"/>
            <w:noWrap/>
            <w:hideMark/>
          </w:tcPr>
          <w:p w14:paraId="546DC2B7" w14:textId="77777777" w:rsidR="0049018D" w:rsidRPr="00524A62" w:rsidRDefault="0049018D" w:rsidP="0005606D">
            <w:pPr>
              <w:rPr>
                <w:rFonts w:cstheme="minorHAnsi"/>
                <w:lang w:val="en-US"/>
              </w:rPr>
            </w:pPr>
            <w:r w:rsidRPr="00524A62">
              <w:rPr>
                <w:rFonts w:cstheme="minorHAnsi"/>
                <w:lang w:val="en-US"/>
              </w:rPr>
              <w:t>kWh</w:t>
            </w:r>
          </w:p>
        </w:tc>
      </w:tr>
      <w:tr w:rsidR="0049018D" w:rsidRPr="00524A62" w14:paraId="71CA7ED3" w14:textId="77777777" w:rsidTr="00EC033A">
        <w:trPr>
          <w:trHeight w:val="90"/>
        </w:trPr>
        <w:tc>
          <w:tcPr>
            <w:tcW w:w="2547" w:type="dxa"/>
            <w:noWrap/>
          </w:tcPr>
          <w:p w14:paraId="02F34210" w14:textId="77777777" w:rsidR="0049018D" w:rsidRPr="00524A62" w:rsidRDefault="0049018D" w:rsidP="0005606D">
            <w:pPr>
              <w:rPr>
                <w:rFonts w:cstheme="minorHAnsi"/>
                <w:lang w:val="en-US"/>
              </w:rPr>
            </w:pPr>
            <w:r w:rsidRPr="00524A62">
              <w:rPr>
                <w:rFonts w:cstheme="minorHAnsi"/>
                <w:lang w:val="en-US"/>
              </w:rPr>
              <w:t>TGC_price_currency</w:t>
            </w:r>
          </w:p>
        </w:tc>
        <w:tc>
          <w:tcPr>
            <w:tcW w:w="3260" w:type="dxa"/>
            <w:noWrap/>
          </w:tcPr>
          <w:p w14:paraId="4939FED5" w14:textId="77777777" w:rsidR="0049018D" w:rsidRPr="00524A62" w:rsidRDefault="0049018D" w:rsidP="0005606D">
            <w:pPr>
              <w:pStyle w:val="Default"/>
              <w:rPr>
                <w:rFonts w:asciiTheme="minorHAnsi" w:hAnsiTheme="minorHAnsi" w:cstheme="minorHAnsi"/>
                <w:sz w:val="22"/>
                <w:szCs w:val="22"/>
              </w:rPr>
            </w:pPr>
            <w:r w:rsidRPr="00524A62">
              <w:rPr>
                <w:rFonts w:asciiTheme="minorHAnsi" w:hAnsiTheme="minorHAnsi" w:cstheme="minorHAnsi"/>
                <w:sz w:val="22"/>
                <w:szCs w:val="22"/>
              </w:rPr>
              <w:t>The original currency of the TGC price (both floor and ceiling prices)</w:t>
            </w:r>
          </w:p>
        </w:tc>
        <w:tc>
          <w:tcPr>
            <w:tcW w:w="3255" w:type="dxa"/>
            <w:noWrap/>
          </w:tcPr>
          <w:p w14:paraId="50F212DD" w14:textId="55257188" w:rsidR="0049018D" w:rsidRPr="00524A62" w:rsidRDefault="0049018D" w:rsidP="0005606D">
            <w:pPr>
              <w:rPr>
                <w:rFonts w:cstheme="minorHAnsi"/>
                <w:lang w:val="en-US"/>
              </w:rPr>
            </w:pPr>
            <w:r w:rsidRPr="00524A62">
              <w:rPr>
                <w:rFonts w:cstheme="minorHAnsi"/>
                <w:lang w:val="en-US"/>
              </w:rPr>
              <w:t>EUR</w:t>
            </w:r>
          </w:p>
        </w:tc>
      </w:tr>
      <w:tr w:rsidR="0049018D" w:rsidRPr="00524A62" w14:paraId="0DEB45E9" w14:textId="77777777" w:rsidTr="00EC033A">
        <w:trPr>
          <w:trHeight w:val="90"/>
        </w:trPr>
        <w:tc>
          <w:tcPr>
            <w:tcW w:w="2547" w:type="dxa"/>
            <w:noWrap/>
            <w:hideMark/>
          </w:tcPr>
          <w:p w14:paraId="00705CFE" w14:textId="77777777" w:rsidR="0049018D" w:rsidRPr="00524A62" w:rsidRDefault="0049018D" w:rsidP="0005606D">
            <w:pPr>
              <w:rPr>
                <w:rFonts w:cstheme="minorHAnsi"/>
                <w:lang w:val="en-US"/>
              </w:rPr>
            </w:pPr>
            <w:r w:rsidRPr="00524A62">
              <w:rPr>
                <w:rFonts w:cstheme="minorHAnsi"/>
                <w:lang w:val="en-US"/>
              </w:rPr>
              <w:t>TGC_target_level</w:t>
            </w:r>
          </w:p>
        </w:tc>
        <w:tc>
          <w:tcPr>
            <w:tcW w:w="3260" w:type="dxa"/>
            <w:noWrap/>
          </w:tcPr>
          <w:p w14:paraId="71AC24F5" w14:textId="002EDE19" w:rsidR="0049018D" w:rsidRPr="00524A62" w:rsidRDefault="0049018D" w:rsidP="0005606D">
            <w:pPr>
              <w:pStyle w:val="Default"/>
              <w:rPr>
                <w:rFonts w:asciiTheme="minorHAnsi" w:hAnsiTheme="minorHAnsi" w:cstheme="minorHAnsi"/>
                <w:sz w:val="22"/>
                <w:szCs w:val="22"/>
              </w:rPr>
            </w:pPr>
            <w:r w:rsidRPr="00524A62">
              <w:rPr>
                <w:rFonts w:asciiTheme="minorHAnsi" w:hAnsiTheme="minorHAnsi" w:cstheme="minorHAnsi"/>
                <w:sz w:val="22"/>
                <w:szCs w:val="22"/>
              </w:rPr>
              <w:t>The level of the long-term goal for the share</w:t>
            </w:r>
            <w:r w:rsidR="005C136B" w:rsidRPr="00524A62">
              <w:rPr>
                <w:rFonts w:asciiTheme="minorHAnsi" w:hAnsiTheme="minorHAnsi" w:cstheme="minorHAnsi"/>
                <w:sz w:val="22"/>
                <w:szCs w:val="22"/>
              </w:rPr>
              <w:t xml:space="preserve"> or </w:t>
            </w:r>
            <w:r w:rsidRPr="00524A62">
              <w:rPr>
                <w:rFonts w:asciiTheme="minorHAnsi" w:hAnsiTheme="minorHAnsi" w:cstheme="minorHAnsi"/>
                <w:sz w:val="22"/>
                <w:szCs w:val="22"/>
              </w:rPr>
              <w:t xml:space="preserve">amount of renewables </w:t>
            </w:r>
          </w:p>
        </w:tc>
        <w:tc>
          <w:tcPr>
            <w:tcW w:w="3255" w:type="dxa"/>
            <w:noWrap/>
            <w:hideMark/>
          </w:tcPr>
          <w:p w14:paraId="7412BD0B" w14:textId="77777777" w:rsidR="0049018D" w:rsidRPr="00524A62" w:rsidRDefault="0049018D" w:rsidP="0005606D">
            <w:pPr>
              <w:rPr>
                <w:rFonts w:cstheme="minorHAnsi"/>
                <w:lang w:val="en-US"/>
              </w:rPr>
            </w:pPr>
            <w:r w:rsidRPr="00524A62">
              <w:rPr>
                <w:rFonts w:cstheme="minorHAnsi"/>
                <w:lang w:val="en-US"/>
              </w:rPr>
              <w:t>Numeric</w:t>
            </w:r>
          </w:p>
        </w:tc>
      </w:tr>
      <w:tr w:rsidR="0049018D" w:rsidRPr="008D4356" w14:paraId="6DA5F97D" w14:textId="77777777" w:rsidTr="00EC033A">
        <w:trPr>
          <w:trHeight w:val="541"/>
        </w:trPr>
        <w:tc>
          <w:tcPr>
            <w:tcW w:w="2547" w:type="dxa"/>
            <w:noWrap/>
            <w:hideMark/>
          </w:tcPr>
          <w:p w14:paraId="4B202A31" w14:textId="77777777" w:rsidR="0049018D" w:rsidRPr="00524A62" w:rsidRDefault="0049018D" w:rsidP="0005606D">
            <w:pPr>
              <w:rPr>
                <w:rFonts w:cstheme="minorHAnsi"/>
                <w:lang w:val="en-US"/>
              </w:rPr>
            </w:pPr>
            <w:r w:rsidRPr="00524A62">
              <w:rPr>
                <w:rFonts w:cstheme="minorHAnsi"/>
                <w:lang w:val="en-US"/>
              </w:rPr>
              <w:t>TGC_target_level_unit</w:t>
            </w:r>
          </w:p>
        </w:tc>
        <w:tc>
          <w:tcPr>
            <w:tcW w:w="3260" w:type="dxa"/>
            <w:noWrap/>
          </w:tcPr>
          <w:p w14:paraId="2BFF63FB" w14:textId="77777777" w:rsidR="0049018D" w:rsidRPr="00524A62" w:rsidRDefault="0049018D" w:rsidP="0005606D">
            <w:pPr>
              <w:rPr>
                <w:rFonts w:cstheme="minorHAnsi"/>
                <w:lang w:val="en-US"/>
              </w:rPr>
            </w:pPr>
            <w:r w:rsidRPr="00524A62">
              <w:rPr>
                <w:rFonts w:cstheme="minorHAnsi"/>
                <w:lang w:val="en-US"/>
              </w:rPr>
              <w:t>The unit of the target goal in more detail</w:t>
            </w:r>
          </w:p>
        </w:tc>
        <w:tc>
          <w:tcPr>
            <w:tcW w:w="3255" w:type="dxa"/>
            <w:noWrap/>
            <w:hideMark/>
          </w:tcPr>
          <w:p w14:paraId="7FAB6747" w14:textId="77777777" w:rsidR="0049018D" w:rsidRPr="00524A62" w:rsidRDefault="0049018D" w:rsidP="0005606D">
            <w:pPr>
              <w:rPr>
                <w:rFonts w:cstheme="minorHAnsi"/>
                <w:lang w:val="en-US"/>
              </w:rPr>
            </w:pPr>
            <w:r w:rsidRPr="00524A62">
              <w:rPr>
                <w:rFonts w:cstheme="minorHAnsi"/>
                <w:lang w:val="en-US"/>
              </w:rPr>
              <w:t>% all power generation, % renewable energy in total energy distribution, % total electricity consumption, % renewable energy, % renewable energy per 100 GWh, % MWh….</w:t>
            </w:r>
          </w:p>
        </w:tc>
      </w:tr>
      <w:tr w:rsidR="0049018D" w:rsidRPr="00524A62" w14:paraId="3C441CDF" w14:textId="77777777" w:rsidTr="00EC033A">
        <w:trPr>
          <w:trHeight w:val="541"/>
        </w:trPr>
        <w:tc>
          <w:tcPr>
            <w:tcW w:w="2547" w:type="dxa"/>
            <w:noWrap/>
          </w:tcPr>
          <w:p w14:paraId="1361236E" w14:textId="77777777" w:rsidR="0049018D" w:rsidRPr="00524A62" w:rsidRDefault="0049018D" w:rsidP="0005606D">
            <w:pPr>
              <w:rPr>
                <w:rFonts w:cstheme="minorHAnsi"/>
                <w:lang w:val="en-US"/>
              </w:rPr>
            </w:pPr>
            <w:r w:rsidRPr="00524A62">
              <w:rPr>
                <w:rFonts w:cstheme="minorHAnsi"/>
                <w:lang w:val="en-US"/>
              </w:rPr>
              <w:t>TGC_level_targetyear</w:t>
            </w:r>
          </w:p>
        </w:tc>
        <w:tc>
          <w:tcPr>
            <w:tcW w:w="3260" w:type="dxa"/>
            <w:noWrap/>
          </w:tcPr>
          <w:p w14:paraId="1098DF8C" w14:textId="77777777" w:rsidR="0049018D" w:rsidRPr="00524A62" w:rsidRDefault="0049018D" w:rsidP="0005606D">
            <w:pPr>
              <w:rPr>
                <w:rFonts w:cstheme="minorHAnsi"/>
                <w:lang w:val="en-US"/>
              </w:rPr>
            </w:pPr>
            <w:r w:rsidRPr="00524A62">
              <w:rPr>
                <w:rFonts w:cstheme="minorHAnsi"/>
                <w:lang w:val="en-US"/>
              </w:rPr>
              <w:t>The year by which the long-term goal is to be achieved</w:t>
            </w:r>
          </w:p>
        </w:tc>
        <w:tc>
          <w:tcPr>
            <w:tcW w:w="3255" w:type="dxa"/>
            <w:noWrap/>
          </w:tcPr>
          <w:p w14:paraId="53C4B442" w14:textId="77777777" w:rsidR="0049018D" w:rsidRPr="00524A62" w:rsidRDefault="0049018D" w:rsidP="0005606D">
            <w:pPr>
              <w:rPr>
                <w:rFonts w:cstheme="minorHAnsi"/>
                <w:lang w:val="en-US"/>
              </w:rPr>
            </w:pPr>
            <w:r w:rsidRPr="00524A62">
              <w:rPr>
                <w:rFonts w:cstheme="minorHAnsi"/>
                <w:lang w:val="en-US"/>
              </w:rPr>
              <w:t>Numeric</w:t>
            </w:r>
          </w:p>
        </w:tc>
      </w:tr>
    </w:tbl>
    <w:p w14:paraId="1C146923" w14:textId="77777777" w:rsidR="0049018D" w:rsidRPr="00524A62" w:rsidRDefault="0049018D" w:rsidP="0049018D">
      <w:pPr>
        <w:rPr>
          <w:rFonts w:cstheme="minorHAnsi"/>
          <w:lang w:val="en-US"/>
        </w:rPr>
      </w:pPr>
    </w:p>
    <w:p w14:paraId="25D3B330" w14:textId="2CE1C5DB" w:rsidR="0049018D" w:rsidRPr="00524A62" w:rsidRDefault="000378D8" w:rsidP="003C6692">
      <w:pPr>
        <w:rPr>
          <w:rFonts w:cstheme="minorHAnsi"/>
          <w:lang w:val="en-US"/>
        </w:rPr>
      </w:pPr>
      <w:r w:rsidRPr="00524A62">
        <w:rPr>
          <w:rFonts w:cstheme="minorHAnsi"/>
          <w:b/>
          <w:bCs/>
          <w:lang w:val="en-US"/>
        </w:rPr>
        <w:t>NOTE</w:t>
      </w:r>
      <w:r w:rsidR="0049018D" w:rsidRPr="00524A62">
        <w:rPr>
          <w:rFonts w:cstheme="minorHAnsi"/>
          <w:b/>
          <w:bCs/>
          <w:lang w:val="en-US"/>
        </w:rPr>
        <w:t>:</w:t>
      </w:r>
      <w:r w:rsidR="0049018D" w:rsidRPr="00524A62">
        <w:rPr>
          <w:rFonts w:cstheme="minorHAnsi"/>
          <w:lang w:val="en-US"/>
        </w:rPr>
        <w:t xml:space="preserve"> the quota amount is a regulatory instrument, which can also exist without a related market instrument: regulators can simply require entities to procure 50% of their power from renewables, without creating a trading scheme. At this stage we only gather data on the existence of trading schemes.</w:t>
      </w:r>
    </w:p>
    <w:p w14:paraId="01DD3355" w14:textId="639F0370" w:rsidR="005243A4" w:rsidRPr="00524A62" w:rsidRDefault="005243A4" w:rsidP="005243A4">
      <w:pPr>
        <w:pStyle w:val="Heading3"/>
        <w:numPr>
          <w:ilvl w:val="0"/>
          <w:numId w:val="22"/>
        </w:numPr>
        <w:spacing w:before="40" w:after="60"/>
        <w:rPr>
          <w:rFonts w:asciiTheme="majorHAnsi" w:hAnsiTheme="majorHAnsi" w:cstheme="majorHAnsi"/>
          <w:color w:val="387782" w:themeColor="accent1" w:themeShade="BF"/>
          <w:sz w:val="24"/>
          <w:szCs w:val="24"/>
          <w:lang w:val="en-US"/>
        </w:rPr>
      </w:pPr>
      <w:bookmarkStart w:id="39" w:name="_Toc219972887"/>
      <w:r w:rsidRPr="00524A62">
        <w:rPr>
          <w:rFonts w:asciiTheme="majorHAnsi" w:hAnsiTheme="majorHAnsi" w:cstheme="majorHAnsi"/>
          <w:color w:val="387782" w:themeColor="accent1" w:themeShade="BF"/>
          <w:sz w:val="24"/>
          <w:szCs w:val="24"/>
          <w:lang w:val="en-US"/>
        </w:rPr>
        <w:t>Carbon taxes</w:t>
      </w:r>
      <w:bookmarkEnd w:id="39"/>
    </w:p>
    <w:p w14:paraId="2A061357" w14:textId="77777777" w:rsidR="0075523F" w:rsidRPr="00524A62" w:rsidRDefault="00885B49" w:rsidP="00885B49">
      <w:pPr>
        <w:rPr>
          <w:lang w:val="en-US" w:eastAsia="en-IN"/>
        </w:rPr>
      </w:pPr>
      <w:r w:rsidRPr="00524A62">
        <w:rPr>
          <w:lang w:val="en-US" w:eastAsia="en-IN"/>
        </w:rPr>
        <w:t xml:space="preserve">Carbon tax data are downloaded from the World Bank Carbon Pricing Dashboard, and must be cited </w:t>
      </w:r>
      <w:r w:rsidR="00164E29" w:rsidRPr="00524A62">
        <w:rPr>
          <w:lang w:val="en-US" w:eastAsia="en-IN"/>
        </w:rPr>
        <w:t>as such for subsequent analyses</w:t>
      </w:r>
      <w:r w:rsidRPr="00524A62">
        <w:rPr>
          <w:lang w:val="en-US" w:eastAsia="en-IN"/>
        </w:rPr>
        <w:t xml:space="preserve">. The full </w:t>
      </w:r>
      <w:r w:rsidR="002A74E2" w:rsidRPr="00524A62">
        <w:rPr>
          <w:lang w:val="en-US" w:eastAsia="en-IN"/>
        </w:rPr>
        <w:t xml:space="preserve">dashboard is available at </w:t>
      </w:r>
      <w:hyperlink r:id="rId17" w:history="1">
        <w:r w:rsidR="002A74E2" w:rsidRPr="00524A62">
          <w:rPr>
            <w:rStyle w:val="Hyperlink"/>
            <w:lang w:val="en-US" w:eastAsia="en-IN"/>
          </w:rPr>
          <w:t>https://carbonpricingdashboard.worldbank.org/about</w:t>
        </w:r>
      </w:hyperlink>
      <w:r w:rsidR="002A74E2" w:rsidRPr="00524A62">
        <w:rPr>
          <w:lang w:val="en-US" w:eastAsia="en-IN"/>
        </w:rPr>
        <w:t xml:space="preserve">. </w:t>
      </w:r>
    </w:p>
    <w:p w14:paraId="2392FDE0" w14:textId="70BD67AB" w:rsidR="001F072B" w:rsidRPr="00524A62" w:rsidRDefault="00C23EED" w:rsidP="0075523F">
      <w:pPr>
        <w:rPr>
          <w:lang w:val="en-US" w:eastAsia="en-IN"/>
        </w:rPr>
      </w:pPr>
      <w:r w:rsidRPr="00524A62">
        <w:rPr>
          <w:rFonts w:cstheme="minorHAnsi"/>
          <w:lang w:val="en-US"/>
        </w:rPr>
        <w:t xml:space="preserve">Carbon pricing is </w:t>
      </w:r>
      <w:r w:rsidR="0075523F" w:rsidRPr="00524A62">
        <w:rPr>
          <w:rFonts w:cstheme="minorHAnsi"/>
          <w:lang w:val="en-US"/>
        </w:rPr>
        <w:t xml:space="preserve">only recorded if it applies to the electricity sector. In this case, it is </w:t>
      </w:r>
      <w:r w:rsidRPr="00524A62">
        <w:rPr>
          <w:rFonts w:cstheme="minorHAnsi"/>
          <w:lang w:val="en-US"/>
        </w:rPr>
        <w:t>coded as applying to “all renewables” as its technology type, as it makes them more competitive vis-à-vis fossil fuels.</w:t>
      </w:r>
      <w:r w:rsidR="001F072B" w:rsidRPr="00524A62">
        <w:rPr>
          <w:rFonts w:cstheme="minorHAnsi"/>
          <w:lang w:val="en-US"/>
        </w:rPr>
        <w:t xml:space="preserve"> </w:t>
      </w:r>
      <w:r w:rsidR="0075523F" w:rsidRPr="00524A62">
        <w:rPr>
          <w:rFonts w:cstheme="minorHAnsi"/>
          <w:lang w:val="en-US"/>
        </w:rPr>
        <w:t xml:space="preserve"> </w:t>
      </w:r>
    </w:p>
    <w:p w14:paraId="6DD696B6" w14:textId="2F06728B" w:rsidR="00B8421C" w:rsidRPr="00524A62" w:rsidRDefault="00B8421C" w:rsidP="0043624F">
      <w:pPr>
        <w:pStyle w:val="Heading1"/>
        <w:spacing w:after="40"/>
        <w:rPr>
          <w:lang w:val="en-US" w:eastAsia="en-IN"/>
        </w:rPr>
      </w:pPr>
      <w:bookmarkStart w:id="40" w:name="_Toc219972888"/>
      <w:r w:rsidRPr="00524A62">
        <w:rPr>
          <w:lang w:val="en-US" w:eastAsia="en-IN"/>
        </w:rPr>
        <w:lastRenderedPageBreak/>
        <w:t xml:space="preserve">Annex 1: </w:t>
      </w:r>
      <w:r w:rsidRPr="00524A62">
        <w:rPr>
          <w:lang w:val="en-US"/>
        </w:rPr>
        <w:t>transformation</w:t>
      </w:r>
      <w:r w:rsidR="00A028A1" w:rsidRPr="00524A62">
        <w:rPr>
          <w:lang w:val="en-US" w:eastAsia="en-IN"/>
        </w:rPr>
        <w:t xml:space="preserve"> and corrections </w:t>
      </w:r>
      <w:r w:rsidRPr="00524A62">
        <w:rPr>
          <w:lang w:val="en-US" w:eastAsia="en-IN"/>
        </w:rPr>
        <w:t xml:space="preserve">of AURES </w:t>
      </w:r>
      <w:r w:rsidR="00A028A1" w:rsidRPr="00524A62">
        <w:rPr>
          <w:lang w:val="en-US" w:eastAsia="en-IN"/>
        </w:rPr>
        <w:t xml:space="preserve">II </w:t>
      </w:r>
      <w:r w:rsidRPr="00524A62">
        <w:rPr>
          <w:lang w:val="en-US" w:eastAsia="en-IN"/>
        </w:rPr>
        <w:t>dataset</w:t>
      </w:r>
      <w:bookmarkEnd w:id="40"/>
    </w:p>
    <w:p w14:paraId="415CD7A3" w14:textId="0E68176C" w:rsidR="00B8421C" w:rsidRPr="00524A62" w:rsidRDefault="00A028A1" w:rsidP="00B8421C">
      <w:pPr>
        <w:rPr>
          <w:b/>
          <w:bCs/>
          <w:lang w:val="en-US" w:eastAsia="en-IN"/>
        </w:rPr>
      </w:pPr>
      <w:r w:rsidRPr="00524A62">
        <w:rPr>
          <w:b/>
          <w:bCs/>
          <w:lang w:val="en-US" w:eastAsia="en-IN"/>
        </w:rPr>
        <w:t xml:space="preserve">Step 1: </w:t>
      </w:r>
      <w:r w:rsidR="00B8421C" w:rsidRPr="00524A62">
        <w:rPr>
          <w:b/>
          <w:bCs/>
          <w:lang w:val="en-US" w:eastAsia="en-IN"/>
        </w:rPr>
        <w:t xml:space="preserve">Identified observations where “total” does not equal the sum of the separate technology types, and why this problem occurs. </w:t>
      </w:r>
    </w:p>
    <w:p w14:paraId="46927B72" w14:textId="4A57317F" w:rsidR="00B8421C" w:rsidRPr="00524A62" w:rsidRDefault="00B8421C" w:rsidP="00B8421C">
      <w:pPr>
        <w:rPr>
          <w:lang w:val="en-US" w:eastAsia="en-IN"/>
        </w:rPr>
      </w:pPr>
      <w:r w:rsidRPr="00524A62">
        <w:rPr>
          <w:lang w:val="en-US" w:eastAsia="en-IN"/>
        </w:rPr>
        <w:t xml:space="preserve">In the case of Poland, this is because there are no observations for separate technology types, only for the auction total. The total technology type is renamed to “all renewables” as this includes subtypes such as hydro, biogas and geothermal. The individual technology rows without details are removed. </w:t>
      </w:r>
    </w:p>
    <w:p w14:paraId="3AB7A479" w14:textId="0E12B5DF" w:rsidR="00B8421C" w:rsidRPr="00524A62" w:rsidRDefault="00B8421C" w:rsidP="00B8421C">
      <w:pPr>
        <w:rPr>
          <w:lang w:val="en-US" w:eastAsia="en-IN"/>
        </w:rPr>
      </w:pPr>
      <w:r w:rsidRPr="00524A62">
        <w:rPr>
          <w:lang w:val="en-US" w:eastAsia="en-IN"/>
        </w:rPr>
        <w:t xml:space="preserve">The remainder are errors in AURES which we have corrected: </w:t>
      </w:r>
    </w:p>
    <w:p w14:paraId="1914D53B" w14:textId="7ED7F297" w:rsidR="00B8421C" w:rsidRPr="00524A62" w:rsidRDefault="00B8421C" w:rsidP="00B8421C">
      <w:pPr>
        <w:rPr>
          <w:lang w:val="en-US" w:eastAsia="en-IN"/>
        </w:rPr>
      </w:pPr>
      <w:r w:rsidRPr="00524A62">
        <w:rPr>
          <w:lang w:val="en-US" w:eastAsia="en-IN"/>
        </w:rPr>
        <w:t xml:space="preserve">In the case of France (2018, FR_82_MT), the problem was that there was a technology type “Other” recorded which was a duplicate of the total auctioned capacity. This is deleted. </w:t>
      </w:r>
    </w:p>
    <w:p w14:paraId="16407DA4" w14:textId="7F460AFB" w:rsidR="00C46381" w:rsidRPr="00524A62" w:rsidRDefault="00B8421C" w:rsidP="00B8421C">
      <w:pPr>
        <w:rPr>
          <w:lang w:val="en-US" w:eastAsia="en-IN"/>
        </w:rPr>
      </w:pPr>
      <w:r w:rsidRPr="00524A62">
        <w:rPr>
          <w:lang w:val="en-US" w:eastAsia="en-IN"/>
        </w:rPr>
        <w:t xml:space="preserve">In Spain (2017, ES_4_MT) and Slovenia (SI_13_MT, SI_14_MT, SI_6_MT, SI_7_MT) the problem was an error in the data recording. We have therefore gone back to the original source and replaced it with the correct data.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76"/>
        <w:gridCol w:w="900"/>
        <w:gridCol w:w="569"/>
        <w:gridCol w:w="1416"/>
        <w:gridCol w:w="1701"/>
        <w:gridCol w:w="3394"/>
      </w:tblGrid>
      <w:tr w:rsidR="00537CF0" w:rsidRPr="00524A62" w14:paraId="0462A58F" w14:textId="77777777" w:rsidTr="00105645">
        <w:trPr>
          <w:trHeight w:val="300"/>
        </w:trPr>
        <w:tc>
          <w:tcPr>
            <w:tcW w:w="594" w:type="pct"/>
            <w:tcBorders>
              <w:top w:val="single" w:sz="6" w:space="0" w:color="auto"/>
              <w:left w:val="single" w:sz="6" w:space="0" w:color="auto"/>
              <w:bottom w:val="single" w:sz="6" w:space="0" w:color="auto"/>
              <w:right w:val="single" w:sz="6" w:space="0" w:color="auto"/>
            </w:tcBorders>
            <w:hideMark/>
          </w:tcPr>
          <w:p w14:paraId="7CAD5375"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b/>
                <w:bCs/>
                <w:lang w:val="en-US"/>
              </w:rPr>
              <w:t>AURESII_id</w:t>
            </w:r>
            <w:r w:rsidRPr="00524A62">
              <w:rPr>
                <w:rFonts w:ascii="Calibri" w:eastAsia="Times New Roman" w:hAnsi="Calibri" w:cs="Calibri"/>
                <w:lang w:val="en-US"/>
              </w:rPr>
              <w:t> </w:t>
            </w:r>
          </w:p>
        </w:tc>
        <w:tc>
          <w:tcPr>
            <w:tcW w:w="497" w:type="pct"/>
            <w:tcBorders>
              <w:top w:val="single" w:sz="6" w:space="0" w:color="auto"/>
              <w:left w:val="single" w:sz="6" w:space="0" w:color="auto"/>
              <w:bottom w:val="single" w:sz="6" w:space="0" w:color="auto"/>
              <w:right w:val="single" w:sz="6" w:space="0" w:color="auto"/>
            </w:tcBorders>
            <w:hideMark/>
          </w:tcPr>
          <w:p w14:paraId="2067BAB9"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b/>
                <w:bCs/>
                <w:lang w:val="en-US"/>
              </w:rPr>
              <w:t>country</w:t>
            </w:r>
            <w:r w:rsidRPr="00524A62">
              <w:rPr>
                <w:rFonts w:ascii="Calibri" w:eastAsia="Times New Roman" w:hAnsi="Calibri" w:cs="Calibri"/>
                <w:lang w:val="en-US"/>
              </w:rPr>
              <w:t> </w:t>
            </w:r>
          </w:p>
        </w:tc>
        <w:tc>
          <w:tcPr>
            <w:tcW w:w="314" w:type="pct"/>
            <w:tcBorders>
              <w:top w:val="single" w:sz="6" w:space="0" w:color="auto"/>
              <w:left w:val="single" w:sz="6" w:space="0" w:color="auto"/>
              <w:bottom w:val="single" w:sz="6" w:space="0" w:color="auto"/>
              <w:right w:val="single" w:sz="6" w:space="0" w:color="auto"/>
            </w:tcBorders>
            <w:hideMark/>
          </w:tcPr>
          <w:p w14:paraId="46731191"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b/>
                <w:bCs/>
                <w:lang w:val="en-US"/>
              </w:rPr>
              <w:t>year</w:t>
            </w:r>
            <w:r w:rsidRPr="00524A62">
              <w:rPr>
                <w:rFonts w:ascii="Calibri" w:eastAsia="Times New Roman" w:hAnsi="Calibri" w:cs="Calibri"/>
                <w:lang w:val="en-US"/>
              </w:rPr>
              <w:t> </w:t>
            </w:r>
          </w:p>
        </w:tc>
        <w:tc>
          <w:tcPr>
            <w:tcW w:w="782" w:type="pct"/>
            <w:tcBorders>
              <w:top w:val="single" w:sz="6" w:space="0" w:color="auto"/>
              <w:left w:val="single" w:sz="6" w:space="0" w:color="auto"/>
              <w:bottom w:val="single" w:sz="6" w:space="0" w:color="auto"/>
              <w:right w:val="single" w:sz="6" w:space="0" w:color="auto"/>
            </w:tcBorders>
            <w:hideMark/>
          </w:tcPr>
          <w:p w14:paraId="4775B0A8"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b/>
                <w:bCs/>
                <w:lang w:val="en-US"/>
              </w:rPr>
              <w:t>total_amount</w:t>
            </w:r>
            <w:r w:rsidRPr="00524A62">
              <w:rPr>
                <w:rFonts w:ascii="Calibri" w:eastAsia="Times New Roman" w:hAnsi="Calibri" w:cs="Calibri"/>
                <w:lang w:val="en-US"/>
              </w:rPr>
              <w:t> </w:t>
            </w:r>
          </w:p>
        </w:tc>
        <w:tc>
          <w:tcPr>
            <w:tcW w:w="939" w:type="pct"/>
            <w:tcBorders>
              <w:top w:val="single" w:sz="6" w:space="0" w:color="auto"/>
              <w:left w:val="single" w:sz="6" w:space="0" w:color="auto"/>
              <w:bottom w:val="single" w:sz="6" w:space="0" w:color="auto"/>
              <w:right w:val="single" w:sz="6" w:space="0" w:color="auto"/>
            </w:tcBorders>
            <w:hideMark/>
          </w:tcPr>
          <w:p w14:paraId="0906F3BA"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b/>
                <w:bCs/>
                <w:lang w:val="en-US"/>
              </w:rPr>
              <w:t>other_tech_sum</w:t>
            </w:r>
            <w:r w:rsidRPr="00524A62">
              <w:rPr>
                <w:rFonts w:ascii="Calibri" w:eastAsia="Times New Roman" w:hAnsi="Calibri" w:cs="Calibri"/>
                <w:lang w:val="en-US"/>
              </w:rPr>
              <w:t> </w:t>
            </w:r>
          </w:p>
        </w:tc>
        <w:tc>
          <w:tcPr>
            <w:tcW w:w="1874" w:type="pct"/>
            <w:tcBorders>
              <w:top w:val="single" w:sz="6" w:space="0" w:color="auto"/>
              <w:left w:val="single" w:sz="6" w:space="0" w:color="auto"/>
              <w:bottom w:val="single" w:sz="6" w:space="0" w:color="auto"/>
              <w:right w:val="single" w:sz="6" w:space="0" w:color="auto"/>
            </w:tcBorders>
            <w:hideMark/>
          </w:tcPr>
          <w:p w14:paraId="6AC0E01D" w14:textId="0205F554" w:rsidR="00537CF0" w:rsidRPr="00524A62" w:rsidRDefault="00A00397"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b/>
                <w:bCs/>
                <w:lang w:val="en-US"/>
              </w:rPr>
              <w:t>Notes</w:t>
            </w:r>
            <w:r w:rsidR="00537CF0" w:rsidRPr="00524A62">
              <w:rPr>
                <w:rFonts w:ascii="Calibri" w:eastAsia="Times New Roman" w:hAnsi="Calibri" w:cs="Calibri"/>
                <w:lang w:val="en-US"/>
              </w:rPr>
              <w:t> </w:t>
            </w:r>
          </w:p>
        </w:tc>
      </w:tr>
      <w:tr w:rsidR="00537CF0" w:rsidRPr="00524A62" w14:paraId="40E47B56" w14:textId="77777777" w:rsidTr="00105645">
        <w:trPr>
          <w:trHeight w:val="300"/>
        </w:trPr>
        <w:tc>
          <w:tcPr>
            <w:tcW w:w="594" w:type="pct"/>
            <w:tcBorders>
              <w:top w:val="single" w:sz="6" w:space="0" w:color="auto"/>
              <w:left w:val="single" w:sz="6" w:space="0" w:color="auto"/>
              <w:bottom w:val="single" w:sz="6" w:space="0" w:color="auto"/>
              <w:right w:val="single" w:sz="6" w:space="0" w:color="auto"/>
            </w:tcBorders>
            <w:hideMark/>
          </w:tcPr>
          <w:p w14:paraId="57761D70"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ES_4_MT </w:t>
            </w:r>
          </w:p>
        </w:tc>
        <w:tc>
          <w:tcPr>
            <w:tcW w:w="497" w:type="pct"/>
            <w:tcBorders>
              <w:top w:val="single" w:sz="6" w:space="0" w:color="auto"/>
              <w:left w:val="single" w:sz="6" w:space="0" w:color="auto"/>
              <w:bottom w:val="single" w:sz="6" w:space="0" w:color="auto"/>
              <w:right w:val="single" w:sz="6" w:space="0" w:color="auto"/>
            </w:tcBorders>
            <w:hideMark/>
          </w:tcPr>
          <w:p w14:paraId="69543E42"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Spain </w:t>
            </w:r>
          </w:p>
        </w:tc>
        <w:tc>
          <w:tcPr>
            <w:tcW w:w="314" w:type="pct"/>
            <w:tcBorders>
              <w:top w:val="single" w:sz="6" w:space="0" w:color="auto"/>
              <w:left w:val="single" w:sz="6" w:space="0" w:color="auto"/>
              <w:bottom w:val="single" w:sz="6" w:space="0" w:color="auto"/>
              <w:right w:val="single" w:sz="6" w:space="0" w:color="auto"/>
            </w:tcBorders>
            <w:hideMark/>
          </w:tcPr>
          <w:p w14:paraId="5FE54B62"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2017 </w:t>
            </w:r>
          </w:p>
        </w:tc>
        <w:tc>
          <w:tcPr>
            <w:tcW w:w="782" w:type="pct"/>
            <w:tcBorders>
              <w:top w:val="single" w:sz="6" w:space="0" w:color="auto"/>
              <w:left w:val="single" w:sz="6" w:space="0" w:color="auto"/>
              <w:bottom w:val="single" w:sz="6" w:space="0" w:color="auto"/>
              <w:right w:val="single" w:sz="6" w:space="0" w:color="auto"/>
            </w:tcBorders>
            <w:hideMark/>
          </w:tcPr>
          <w:p w14:paraId="7A89CD88"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5036921 </w:t>
            </w:r>
          </w:p>
        </w:tc>
        <w:tc>
          <w:tcPr>
            <w:tcW w:w="939" w:type="pct"/>
            <w:tcBorders>
              <w:top w:val="single" w:sz="6" w:space="0" w:color="auto"/>
              <w:left w:val="single" w:sz="6" w:space="0" w:color="auto"/>
              <w:bottom w:val="single" w:sz="6" w:space="0" w:color="auto"/>
              <w:right w:val="single" w:sz="6" w:space="0" w:color="auto"/>
            </w:tcBorders>
            <w:hideMark/>
          </w:tcPr>
          <w:p w14:paraId="139EDFEE"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5037000 </w:t>
            </w:r>
          </w:p>
        </w:tc>
        <w:tc>
          <w:tcPr>
            <w:tcW w:w="1874" w:type="pct"/>
            <w:tcBorders>
              <w:top w:val="single" w:sz="6" w:space="0" w:color="auto"/>
              <w:left w:val="single" w:sz="6" w:space="0" w:color="auto"/>
              <w:bottom w:val="single" w:sz="6" w:space="0" w:color="auto"/>
              <w:right w:val="single" w:sz="6" w:space="0" w:color="auto"/>
            </w:tcBorders>
            <w:hideMark/>
          </w:tcPr>
          <w:p w14:paraId="51017B50" w14:textId="4BCEDEED"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change</w:t>
            </w:r>
            <w:r w:rsidR="00DB5658" w:rsidRPr="00524A62">
              <w:rPr>
                <w:rFonts w:ascii="Calibri" w:eastAsia="Times New Roman" w:hAnsi="Calibri" w:cs="Calibri"/>
                <w:lang w:val="en-US"/>
              </w:rPr>
              <w:t>d</w:t>
            </w:r>
            <w:r w:rsidRPr="00524A62">
              <w:rPr>
                <w:rFonts w:ascii="Calibri" w:eastAsia="Times New Roman" w:hAnsi="Calibri" w:cs="Calibri"/>
                <w:lang w:val="en-US"/>
              </w:rPr>
              <w:t xml:space="preserve"> to correct values</w:t>
            </w:r>
          </w:p>
        </w:tc>
      </w:tr>
      <w:tr w:rsidR="00537CF0" w:rsidRPr="008D4356" w14:paraId="4CDF3432" w14:textId="77777777" w:rsidTr="00105645">
        <w:trPr>
          <w:trHeight w:val="300"/>
        </w:trPr>
        <w:tc>
          <w:tcPr>
            <w:tcW w:w="594" w:type="pct"/>
            <w:tcBorders>
              <w:top w:val="single" w:sz="6" w:space="0" w:color="auto"/>
              <w:left w:val="single" w:sz="6" w:space="0" w:color="auto"/>
              <w:bottom w:val="single" w:sz="6" w:space="0" w:color="auto"/>
              <w:right w:val="single" w:sz="6" w:space="0" w:color="auto"/>
            </w:tcBorders>
            <w:hideMark/>
          </w:tcPr>
          <w:p w14:paraId="185C72D4"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FR_82_MT </w:t>
            </w:r>
          </w:p>
        </w:tc>
        <w:tc>
          <w:tcPr>
            <w:tcW w:w="497" w:type="pct"/>
            <w:tcBorders>
              <w:top w:val="single" w:sz="6" w:space="0" w:color="auto"/>
              <w:left w:val="single" w:sz="6" w:space="0" w:color="auto"/>
              <w:bottom w:val="single" w:sz="6" w:space="0" w:color="auto"/>
              <w:right w:val="single" w:sz="6" w:space="0" w:color="auto"/>
            </w:tcBorders>
            <w:hideMark/>
          </w:tcPr>
          <w:p w14:paraId="2DADE7AA"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France </w:t>
            </w:r>
          </w:p>
        </w:tc>
        <w:tc>
          <w:tcPr>
            <w:tcW w:w="314" w:type="pct"/>
            <w:tcBorders>
              <w:top w:val="single" w:sz="6" w:space="0" w:color="auto"/>
              <w:left w:val="single" w:sz="6" w:space="0" w:color="auto"/>
              <w:bottom w:val="single" w:sz="6" w:space="0" w:color="auto"/>
              <w:right w:val="single" w:sz="6" w:space="0" w:color="auto"/>
            </w:tcBorders>
            <w:hideMark/>
          </w:tcPr>
          <w:p w14:paraId="039D2487"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2018 </w:t>
            </w:r>
          </w:p>
        </w:tc>
        <w:tc>
          <w:tcPr>
            <w:tcW w:w="782" w:type="pct"/>
            <w:tcBorders>
              <w:top w:val="single" w:sz="6" w:space="0" w:color="auto"/>
              <w:left w:val="single" w:sz="6" w:space="0" w:color="auto"/>
              <w:bottom w:val="single" w:sz="6" w:space="0" w:color="auto"/>
              <w:right w:val="single" w:sz="6" w:space="0" w:color="auto"/>
            </w:tcBorders>
            <w:hideMark/>
          </w:tcPr>
          <w:p w14:paraId="3E8EF242"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203000 </w:t>
            </w:r>
          </w:p>
        </w:tc>
        <w:tc>
          <w:tcPr>
            <w:tcW w:w="939" w:type="pct"/>
            <w:tcBorders>
              <w:top w:val="single" w:sz="6" w:space="0" w:color="auto"/>
              <w:left w:val="single" w:sz="6" w:space="0" w:color="auto"/>
              <w:bottom w:val="single" w:sz="6" w:space="0" w:color="auto"/>
              <w:right w:val="single" w:sz="6" w:space="0" w:color="auto"/>
            </w:tcBorders>
            <w:hideMark/>
          </w:tcPr>
          <w:p w14:paraId="0CF0B60E"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406000 </w:t>
            </w:r>
          </w:p>
        </w:tc>
        <w:tc>
          <w:tcPr>
            <w:tcW w:w="1874" w:type="pct"/>
            <w:tcBorders>
              <w:top w:val="single" w:sz="6" w:space="0" w:color="auto"/>
              <w:left w:val="single" w:sz="6" w:space="0" w:color="auto"/>
              <w:bottom w:val="single" w:sz="6" w:space="0" w:color="auto"/>
              <w:right w:val="single" w:sz="6" w:space="0" w:color="auto"/>
            </w:tcBorders>
            <w:hideMark/>
          </w:tcPr>
          <w:p w14:paraId="0984F608" w14:textId="3525A9F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remove</w:t>
            </w:r>
            <w:r w:rsidR="00DC6708" w:rsidRPr="00524A62">
              <w:rPr>
                <w:rFonts w:ascii="Calibri" w:eastAsia="Times New Roman" w:hAnsi="Calibri" w:cs="Calibri"/>
                <w:lang w:val="en-US"/>
              </w:rPr>
              <w:t>d</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other</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as is duplicate of </w:t>
            </w:r>
            <w:r w:rsidR="000D3DA5" w:rsidRPr="00524A62">
              <w:rPr>
                <w:rFonts w:ascii="Calibri" w:eastAsia="Times New Roman" w:hAnsi="Calibri" w:cs="Calibri"/>
                <w:lang w:val="en-US"/>
              </w:rPr>
              <w:t>“</w:t>
            </w:r>
            <w:r w:rsidRPr="00524A62">
              <w:rPr>
                <w:rFonts w:ascii="Calibri" w:eastAsia="Times New Roman" w:hAnsi="Calibri" w:cs="Calibri"/>
                <w:lang w:val="en-US"/>
              </w:rPr>
              <w:t>total</w:t>
            </w:r>
            <w:r w:rsidR="000D3DA5" w:rsidRPr="00524A62">
              <w:rPr>
                <w:rFonts w:ascii="Calibri" w:eastAsia="Times New Roman" w:hAnsi="Calibri" w:cs="Calibri"/>
                <w:lang w:val="en-US"/>
              </w:rPr>
              <w:t>”</w:t>
            </w:r>
            <w:r w:rsidRPr="00524A62">
              <w:rPr>
                <w:rFonts w:ascii="Calibri" w:eastAsia="Times New Roman" w:hAnsi="Calibri" w:cs="Calibri"/>
                <w:lang w:val="en-US"/>
              </w:rPr>
              <w:t> </w:t>
            </w:r>
          </w:p>
        </w:tc>
      </w:tr>
      <w:tr w:rsidR="00537CF0" w:rsidRPr="008D4356" w14:paraId="0A6789F3" w14:textId="77777777" w:rsidTr="00105645">
        <w:trPr>
          <w:trHeight w:val="300"/>
        </w:trPr>
        <w:tc>
          <w:tcPr>
            <w:tcW w:w="594" w:type="pct"/>
            <w:tcBorders>
              <w:top w:val="single" w:sz="6" w:space="0" w:color="auto"/>
              <w:left w:val="single" w:sz="6" w:space="0" w:color="auto"/>
              <w:bottom w:val="single" w:sz="6" w:space="0" w:color="auto"/>
              <w:right w:val="single" w:sz="6" w:space="0" w:color="auto"/>
            </w:tcBorders>
            <w:hideMark/>
          </w:tcPr>
          <w:p w14:paraId="29E25136"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PL_12_MT </w:t>
            </w:r>
          </w:p>
        </w:tc>
        <w:tc>
          <w:tcPr>
            <w:tcW w:w="497" w:type="pct"/>
            <w:tcBorders>
              <w:top w:val="single" w:sz="6" w:space="0" w:color="auto"/>
              <w:left w:val="single" w:sz="6" w:space="0" w:color="auto"/>
              <w:bottom w:val="single" w:sz="6" w:space="0" w:color="auto"/>
              <w:right w:val="single" w:sz="6" w:space="0" w:color="auto"/>
            </w:tcBorders>
            <w:hideMark/>
          </w:tcPr>
          <w:p w14:paraId="6A523F6F"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Poland </w:t>
            </w:r>
          </w:p>
        </w:tc>
        <w:tc>
          <w:tcPr>
            <w:tcW w:w="314" w:type="pct"/>
            <w:tcBorders>
              <w:top w:val="single" w:sz="6" w:space="0" w:color="auto"/>
              <w:left w:val="single" w:sz="6" w:space="0" w:color="auto"/>
              <w:bottom w:val="single" w:sz="6" w:space="0" w:color="auto"/>
              <w:right w:val="single" w:sz="6" w:space="0" w:color="auto"/>
            </w:tcBorders>
            <w:hideMark/>
          </w:tcPr>
          <w:p w14:paraId="705875B7"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2018 </w:t>
            </w:r>
          </w:p>
        </w:tc>
        <w:tc>
          <w:tcPr>
            <w:tcW w:w="782" w:type="pct"/>
            <w:tcBorders>
              <w:top w:val="single" w:sz="6" w:space="0" w:color="auto"/>
              <w:left w:val="single" w:sz="6" w:space="0" w:color="auto"/>
              <w:bottom w:val="single" w:sz="6" w:space="0" w:color="auto"/>
              <w:right w:val="single" w:sz="6" w:space="0" w:color="auto"/>
            </w:tcBorders>
            <w:hideMark/>
          </w:tcPr>
          <w:p w14:paraId="0CA8D902"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0 </w:t>
            </w:r>
          </w:p>
        </w:tc>
        <w:tc>
          <w:tcPr>
            <w:tcW w:w="939" w:type="pct"/>
            <w:tcBorders>
              <w:top w:val="single" w:sz="6" w:space="0" w:color="auto"/>
              <w:left w:val="single" w:sz="6" w:space="0" w:color="auto"/>
              <w:bottom w:val="single" w:sz="6" w:space="0" w:color="auto"/>
              <w:right w:val="single" w:sz="6" w:space="0" w:color="auto"/>
            </w:tcBorders>
            <w:hideMark/>
          </w:tcPr>
          <w:p w14:paraId="4499C804"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1000 </w:t>
            </w:r>
          </w:p>
        </w:tc>
        <w:tc>
          <w:tcPr>
            <w:tcW w:w="1874" w:type="pct"/>
            <w:tcBorders>
              <w:top w:val="single" w:sz="6" w:space="0" w:color="auto"/>
              <w:left w:val="single" w:sz="6" w:space="0" w:color="auto"/>
              <w:bottom w:val="single" w:sz="6" w:space="0" w:color="auto"/>
              <w:right w:val="single" w:sz="6" w:space="0" w:color="auto"/>
            </w:tcBorders>
            <w:hideMark/>
          </w:tcPr>
          <w:p w14:paraId="5A9B1453" w14:textId="20F475F8"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rename</w:t>
            </w:r>
            <w:r w:rsidR="009540C7" w:rsidRPr="00524A62">
              <w:rPr>
                <w:rFonts w:ascii="Calibri" w:eastAsia="Times New Roman" w:hAnsi="Calibri" w:cs="Calibri"/>
                <w:lang w:val="en-US"/>
              </w:rPr>
              <w:t>d</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total</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to </w:t>
            </w:r>
            <w:r w:rsidR="000D3DA5" w:rsidRPr="00524A62">
              <w:rPr>
                <w:rFonts w:ascii="Calibri" w:eastAsia="Times New Roman" w:hAnsi="Calibri" w:cs="Calibri"/>
                <w:lang w:val="en-US"/>
              </w:rPr>
              <w:t>“</w:t>
            </w:r>
            <w:r w:rsidRPr="00524A62">
              <w:rPr>
                <w:rFonts w:ascii="Calibri" w:eastAsia="Times New Roman" w:hAnsi="Calibri" w:cs="Calibri"/>
                <w:lang w:val="en-US"/>
              </w:rPr>
              <w:t>all renewables</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(as includes hydro, biogas, geothermal); remove</w:t>
            </w:r>
            <w:r w:rsidR="00432BC9" w:rsidRPr="00524A62">
              <w:rPr>
                <w:rFonts w:ascii="Calibri" w:eastAsia="Times New Roman" w:hAnsi="Calibri" w:cs="Calibri"/>
                <w:lang w:val="en-US"/>
              </w:rPr>
              <w:t>d</w:t>
            </w:r>
            <w:r w:rsidRPr="00524A62">
              <w:rPr>
                <w:rFonts w:ascii="Calibri" w:eastAsia="Times New Roman" w:hAnsi="Calibri" w:cs="Calibri"/>
                <w:lang w:val="en-US"/>
              </w:rPr>
              <w:t xml:space="preserve"> subtypes </w:t>
            </w:r>
          </w:p>
        </w:tc>
      </w:tr>
      <w:tr w:rsidR="00537CF0" w:rsidRPr="008D4356" w14:paraId="00F1BB66" w14:textId="77777777" w:rsidTr="00105645">
        <w:trPr>
          <w:trHeight w:val="300"/>
        </w:trPr>
        <w:tc>
          <w:tcPr>
            <w:tcW w:w="594" w:type="pct"/>
            <w:tcBorders>
              <w:top w:val="single" w:sz="6" w:space="0" w:color="auto"/>
              <w:left w:val="single" w:sz="6" w:space="0" w:color="auto"/>
              <w:bottom w:val="single" w:sz="6" w:space="0" w:color="auto"/>
              <w:right w:val="single" w:sz="6" w:space="0" w:color="auto"/>
            </w:tcBorders>
            <w:hideMark/>
          </w:tcPr>
          <w:p w14:paraId="4123E1EE"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PL_15_MT </w:t>
            </w:r>
          </w:p>
        </w:tc>
        <w:tc>
          <w:tcPr>
            <w:tcW w:w="497" w:type="pct"/>
            <w:tcBorders>
              <w:top w:val="single" w:sz="6" w:space="0" w:color="auto"/>
              <w:left w:val="single" w:sz="6" w:space="0" w:color="auto"/>
              <w:bottom w:val="single" w:sz="6" w:space="0" w:color="auto"/>
              <w:right w:val="single" w:sz="6" w:space="0" w:color="auto"/>
            </w:tcBorders>
            <w:hideMark/>
          </w:tcPr>
          <w:p w14:paraId="189F3936"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Poland </w:t>
            </w:r>
          </w:p>
        </w:tc>
        <w:tc>
          <w:tcPr>
            <w:tcW w:w="314" w:type="pct"/>
            <w:tcBorders>
              <w:top w:val="single" w:sz="6" w:space="0" w:color="auto"/>
              <w:left w:val="single" w:sz="6" w:space="0" w:color="auto"/>
              <w:bottom w:val="single" w:sz="6" w:space="0" w:color="auto"/>
              <w:right w:val="single" w:sz="6" w:space="0" w:color="auto"/>
            </w:tcBorders>
            <w:hideMark/>
          </w:tcPr>
          <w:p w14:paraId="2F62869D"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2018 </w:t>
            </w:r>
          </w:p>
        </w:tc>
        <w:tc>
          <w:tcPr>
            <w:tcW w:w="782" w:type="pct"/>
            <w:tcBorders>
              <w:top w:val="single" w:sz="6" w:space="0" w:color="auto"/>
              <w:left w:val="single" w:sz="6" w:space="0" w:color="auto"/>
              <w:bottom w:val="single" w:sz="6" w:space="0" w:color="auto"/>
              <w:right w:val="single" w:sz="6" w:space="0" w:color="auto"/>
            </w:tcBorders>
            <w:hideMark/>
          </w:tcPr>
          <w:p w14:paraId="71D2FF23"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0 </w:t>
            </w:r>
          </w:p>
        </w:tc>
        <w:tc>
          <w:tcPr>
            <w:tcW w:w="939" w:type="pct"/>
            <w:tcBorders>
              <w:top w:val="single" w:sz="6" w:space="0" w:color="auto"/>
              <w:left w:val="single" w:sz="6" w:space="0" w:color="auto"/>
              <w:bottom w:val="single" w:sz="6" w:space="0" w:color="auto"/>
              <w:right w:val="single" w:sz="6" w:space="0" w:color="auto"/>
            </w:tcBorders>
            <w:hideMark/>
          </w:tcPr>
          <w:p w14:paraId="4692D435"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500800 </w:t>
            </w:r>
          </w:p>
        </w:tc>
        <w:tc>
          <w:tcPr>
            <w:tcW w:w="1874" w:type="pct"/>
            <w:tcBorders>
              <w:top w:val="single" w:sz="6" w:space="0" w:color="auto"/>
              <w:left w:val="single" w:sz="6" w:space="0" w:color="auto"/>
              <w:bottom w:val="single" w:sz="6" w:space="0" w:color="auto"/>
              <w:right w:val="single" w:sz="6" w:space="0" w:color="auto"/>
            </w:tcBorders>
            <w:hideMark/>
          </w:tcPr>
          <w:p w14:paraId="09E3BDB7" w14:textId="3FCAEFE5"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rename</w:t>
            </w:r>
            <w:r w:rsidR="00327C7F" w:rsidRPr="00524A62">
              <w:rPr>
                <w:rFonts w:ascii="Calibri" w:eastAsia="Times New Roman" w:hAnsi="Calibri" w:cs="Calibri"/>
                <w:lang w:val="en-US"/>
              </w:rPr>
              <w:t>d</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total</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to </w:t>
            </w:r>
            <w:r w:rsidR="000D3DA5" w:rsidRPr="00524A62">
              <w:rPr>
                <w:rFonts w:ascii="Calibri" w:eastAsia="Times New Roman" w:hAnsi="Calibri" w:cs="Calibri"/>
                <w:lang w:val="en-US"/>
              </w:rPr>
              <w:t>“</w:t>
            </w:r>
            <w:r w:rsidRPr="00524A62">
              <w:rPr>
                <w:rFonts w:ascii="Calibri" w:eastAsia="Times New Roman" w:hAnsi="Calibri" w:cs="Calibri"/>
                <w:lang w:val="en-US"/>
              </w:rPr>
              <w:t>all renewables</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(as includes hydro, biogas, geothermal); remove</w:t>
            </w:r>
            <w:r w:rsidR="00936A6C" w:rsidRPr="00524A62">
              <w:rPr>
                <w:rFonts w:ascii="Calibri" w:eastAsia="Times New Roman" w:hAnsi="Calibri" w:cs="Calibri"/>
                <w:lang w:val="en-US"/>
              </w:rPr>
              <w:t>d</w:t>
            </w:r>
            <w:r w:rsidRPr="00524A62">
              <w:rPr>
                <w:rFonts w:ascii="Calibri" w:eastAsia="Times New Roman" w:hAnsi="Calibri" w:cs="Calibri"/>
                <w:lang w:val="en-US"/>
              </w:rPr>
              <w:t xml:space="preserve"> subtypes </w:t>
            </w:r>
          </w:p>
        </w:tc>
      </w:tr>
      <w:tr w:rsidR="00537CF0" w:rsidRPr="008D4356" w14:paraId="2654B8E1" w14:textId="77777777" w:rsidTr="00105645">
        <w:trPr>
          <w:trHeight w:val="300"/>
        </w:trPr>
        <w:tc>
          <w:tcPr>
            <w:tcW w:w="594" w:type="pct"/>
            <w:tcBorders>
              <w:top w:val="single" w:sz="6" w:space="0" w:color="auto"/>
              <w:left w:val="single" w:sz="6" w:space="0" w:color="auto"/>
              <w:bottom w:val="single" w:sz="6" w:space="0" w:color="auto"/>
              <w:right w:val="single" w:sz="6" w:space="0" w:color="auto"/>
            </w:tcBorders>
            <w:hideMark/>
          </w:tcPr>
          <w:p w14:paraId="54AEE815"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PL_25_MT </w:t>
            </w:r>
          </w:p>
        </w:tc>
        <w:tc>
          <w:tcPr>
            <w:tcW w:w="497" w:type="pct"/>
            <w:tcBorders>
              <w:top w:val="single" w:sz="6" w:space="0" w:color="auto"/>
              <w:left w:val="single" w:sz="6" w:space="0" w:color="auto"/>
              <w:bottom w:val="single" w:sz="6" w:space="0" w:color="auto"/>
              <w:right w:val="single" w:sz="6" w:space="0" w:color="auto"/>
            </w:tcBorders>
            <w:hideMark/>
          </w:tcPr>
          <w:p w14:paraId="550A5807"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Poland </w:t>
            </w:r>
          </w:p>
        </w:tc>
        <w:tc>
          <w:tcPr>
            <w:tcW w:w="314" w:type="pct"/>
            <w:tcBorders>
              <w:top w:val="single" w:sz="6" w:space="0" w:color="auto"/>
              <w:left w:val="single" w:sz="6" w:space="0" w:color="auto"/>
              <w:bottom w:val="single" w:sz="6" w:space="0" w:color="auto"/>
              <w:right w:val="single" w:sz="6" w:space="0" w:color="auto"/>
            </w:tcBorders>
            <w:hideMark/>
          </w:tcPr>
          <w:p w14:paraId="08DFE727"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2019 </w:t>
            </w:r>
          </w:p>
        </w:tc>
        <w:tc>
          <w:tcPr>
            <w:tcW w:w="782" w:type="pct"/>
            <w:tcBorders>
              <w:top w:val="single" w:sz="6" w:space="0" w:color="auto"/>
              <w:left w:val="single" w:sz="6" w:space="0" w:color="auto"/>
              <w:bottom w:val="single" w:sz="6" w:space="0" w:color="auto"/>
              <w:right w:val="single" w:sz="6" w:space="0" w:color="auto"/>
            </w:tcBorders>
            <w:hideMark/>
          </w:tcPr>
          <w:p w14:paraId="10B37825"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0 </w:t>
            </w:r>
          </w:p>
        </w:tc>
        <w:tc>
          <w:tcPr>
            <w:tcW w:w="939" w:type="pct"/>
            <w:tcBorders>
              <w:top w:val="single" w:sz="6" w:space="0" w:color="auto"/>
              <w:left w:val="single" w:sz="6" w:space="0" w:color="auto"/>
              <w:bottom w:val="single" w:sz="6" w:space="0" w:color="auto"/>
              <w:right w:val="single" w:sz="6" w:space="0" w:color="auto"/>
            </w:tcBorders>
            <w:hideMark/>
          </w:tcPr>
          <w:p w14:paraId="5014E707"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2340000 </w:t>
            </w:r>
          </w:p>
        </w:tc>
        <w:tc>
          <w:tcPr>
            <w:tcW w:w="1874" w:type="pct"/>
            <w:tcBorders>
              <w:top w:val="single" w:sz="6" w:space="0" w:color="auto"/>
              <w:left w:val="single" w:sz="6" w:space="0" w:color="auto"/>
              <w:bottom w:val="single" w:sz="6" w:space="0" w:color="auto"/>
              <w:right w:val="single" w:sz="6" w:space="0" w:color="auto"/>
            </w:tcBorders>
            <w:hideMark/>
          </w:tcPr>
          <w:p w14:paraId="4CEFCB3D" w14:textId="1B4E6A3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rename</w:t>
            </w:r>
            <w:r w:rsidR="003B0A3B" w:rsidRPr="00524A62">
              <w:rPr>
                <w:rFonts w:ascii="Calibri" w:eastAsia="Times New Roman" w:hAnsi="Calibri" w:cs="Calibri"/>
                <w:lang w:val="en-US"/>
              </w:rPr>
              <w:t>d</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total</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to </w:t>
            </w:r>
            <w:r w:rsidR="000D3DA5" w:rsidRPr="00524A62">
              <w:rPr>
                <w:rFonts w:ascii="Calibri" w:eastAsia="Times New Roman" w:hAnsi="Calibri" w:cs="Calibri"/>
                <w:lang w:val="en-US"/>
              </w:rPr>
              <w:t>“</w:t>
            </w:r>
            <w:r w:rsidRPr="00524A62">
              <w:rPr>
                <w:rFonts w:ascii="Calibri" w:eastAsia="Times New Roman" w:hAnsi="Calibri" w:cs="Calibri"/>
                <w:lang w:val="en-US"/>
              </w:rPr>
              <w:t>all renewables</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(as includes hydro, biogas, geothermal); remove</w:t>
            </w:r>
            <w:r w:rsidR="00327C7F" w:rsidRPr="00524A62">
              <w:rPr>
                <w:rFonts w:ascii="Calibri" w:eastAsia="Times New Roman" w:hAnsi="Calibri" w:cs="Calibri"/>
                <w:lang w:val="en-US"/>
              </w:rPr>
              <w:t>d</w:t>
            </w:r>
            <w:r w:rsidRPr="00524A62">
              <w:rPr>
                <w:rFonts w:ascii="Calibri" w:eastAsia="Times New Roman" w:hAnsi="Calibri" w:cs="Calibri"/>
                <w:lang w:val="en-US"/>
              </w:rPr>
              <w:t xml:space="preserve"> subtypes </w:t>
            </w:r>
          </w:p>
        </w:tc>
      </w:tr>
      <w:tr w:rsidR="00537CF0" w:rsidRPr="008D4356" w14:paraId="04D887CA" w14:textId="77777777" w:rsidTr="00105645">
        <w:trPr>
          <w:trHeight w:val="300"/>
        </w:trPr>
        <w:tc>
          <w:tcPr>
            <w:tcW w:w="594" w:type="pct"/>
            <w:tcBorders>
              <w:top w:val="single" w:sz="6" w:space="0" w:color="auto"/>
              <w:left w:val="single" w:sz="6" w:space="0" w:color="auto"/>
              <w:bottom w:val="single" w:sz="6" w:space="0" w:color="auto"/>
              <w:right w:val="single" w:sz="6" w:space="0" w:color="auto"/>
            </w:tcBorders>
            <w:hideMark/>
          </w:tcPr>
          <w:p w14:paraId="1B4561CA"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PL_28_MT </w:t>
            </w:r>
          </w:p>
        </w:tc>
        <w:tc>
          <w:tcPr>
            <w:tcW w:w="497" w:type="pct"/>
            <w:tcBorders>
              <w:top w:val="single" w:sz="6" w:space="0" w:color="auto"/>
              <w:left w:val="single" w:sz="6" w:space="0" w:color="auto"/>
              <w:bottom w:val="single" w:sz="6" w:space="0" w:color="auto"/>
              <w:right w:val="single" w:sz="6" w:space="0" w:color="auto"/>
            </w:tcBorders>
            <w:hideMark/>
          </w:tcPr>
          <w:p w14:paraId="4FC531E3"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Poland </w:t>
            </w:r>
          </w:p>
        </w:tc>
        <w:tc>
          <w:tcPr>
            <w:tcW w:w="314" w:type="pct"/>
            <w:tcBorders>
              <w:top w:val="single" w:sz="6" w:space="0" w:color="auto"/>
              <w:left w:val="single" w:sz="6" w:space="0" w:color="auto"/>
              <w:bottom w:val="single" w:sz="6" w:space="0" w:color="auto"/>
              <w:right w:val="single" w:sz="6" w:space="0" w:color="auto"/>
            </w:tcBorders>
            <w:hideMark/>
          </w:tcPr>
          <w:p w14:paraId="5B17B172"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2019 </w:t>
            </w:r>
          </w:p>
        </w:tc>
        <w:tc>
          <w:tcPr>
            <w:tcW w:w="782" w:type="pct"/>
            <w:tcBorders>
              <w:top w:val="single" w:sz="6" w:space="0" w:color="auto"/>
              <w:left w:val="single" w:sz="6" w:space="0" w:color="auto"/>
              <w:bottom w:val="single" w:sz="6" w:space="0" w:color="auto"/>
              <w:right w:val="single" w:sz="6" w:space="0" w:color="auto"/>
            </w:tcBorders>
            <w:hideMark/>
          </w:tcPr>
          <w:p w14:paraId="36FF5667"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0 </w:t>
            </w:r>
          </w:p>
        </w:tc>
        <w:tc>
          <w:tcPr>
            <w:tcW w:w="939" w:type="pct"/>
            <w:tcBorders>
              <w:top w:val="single" w:sz="6" w:space="0" w:color="auto"/>
              <w:left w:val="single" w:sz="6" w:space="0" w:color="auto"/>
              <w:bottom w:val="single" w:sz="6" w:space="0" w:color="auto"/>
              <w:right w:val="single" w:sz="6" w:space="0" w:color="auto"/>
            </w:tcBorders>
            <w:hideMark/>
          </w:tcPr>
          <w:p w14:paraId="7CA28E26"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750000 </w:t>
            </w:r>
          </w:p>
        </w:tc>
        <w:tc>
          <w:tcPr>
            <w:tcW w:w="1874" w:type="pct"/>
            <w:tcBorders>
              <w:top w:val="single" w:sz="6" w:space="0" w:color="auto"/>
              <w:left w:val="single" w:sz="6" w:space="0" w:color="auto"/>
              <w:bottom w:val="single" w:sz="6" w:space="0" w:color="auto"/>
              <w:right w:val="single" w:sz="6" w:space="0" w:color="auto"/>
            </w:tcBorders>
            <w:hideMark/>
          </w:tcPr>
          <w:p w14:paraId="033434C1" w14:textId="0C31FE05"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rename</w:t>
            </w:r>
            <w:r w:rsidR="002E6DF8" w:rsidRPr="00524A62">
              <w:rPr>
                <w:rFonts w:ascii="Calibri" w:eastAsia="Times New Roman" w:hAnsi="Calibri" w:cs="Calibri"/>
                <w:lang w:val="en-US"/>
              </w:rPr>
              <w:t>d</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total</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to </w:t>
            </w:r>
            <w:r w:rsidR="000D3DA5" w:rsidRPr="00524A62">
              <w:rPr>
                <w:rFonts w:ascii="Calibri" w:eastAsia="Times New Roman" w:hAnsi="Calibri" w:cs="Calibri"/>
                <w:lang w:val="en-US"/>
              </w:rPr>
              <w:t>“</w:t>
            </w:r>
            <w:r w:rsidRPr="00524A62">
              <w:rPr>
                <w:rFonts w:ascii="Calibri" w:eastAsia="Times New Roman" w:hAnsi="Calibri" w:cs="Calibri"/>
                <w:lang w:val="en-US"/>
              </w:rPr>
              <w:t>all renewables</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(as includes hydro, biogas, geothermal); remove</w:t>
            </w:r>
            <w:r w:rsidR="002E6DF8" w:rsidRPr="00524A62">
              <w:rPr>
                <w:rFonts w:ascii="Calibri" w:eastAsia="Times New Roman" w:hAnsi="Calibri" w:cs="Calibri"/>
                <w:lang w:val="en-US"/>
              </w:rPr>
              <w:t>d</w:t>
            </w:r>
            <w:r w:rsidRPr="00524A62">
              <w:rPr>
                <w:rFonts w:ascii="Calibri" w:eastAsia="Times New Roman" w:hAnsi="Calibri" w:cs="Calibri"/>
                <w:lang w:val="en-US"/>
              </w:rPr>
              <w:t xml:space="preserve"> subtypes </w:t>
            </w:r>
          </w:p>
        </w:tc>
      </w:tr>
      <w:tr w:rsidR="00537CF0" w:rsidRPr="008D4356" w14:paraId="64BF91AC" w14:textId="77777777" w:rsidTr="00105645">
        <w:trPr>
          <w:trHeight w:val="300"/>
        </w:trPr>
        <w:tc>
          <w:tcPr>
            <w:tcW w:w="594" w:type="pct"/>
            <w:tcBorders>
              <w:top w:val="single" w:sz="6" w:space="0" w:color="auto"/>
              <w:left w:val="single" w:sz="6" w:space="0" w:color="auto"/>
              <w:bottom w:val="single" w:sz="6" w:space="0" w:color="auto"/>
              <w:right w:val="single" w:sz="6" w:space="0" w:color="auto"/>
            </w:tcBorders>
            <w:hideMark/>
          </w:tcPr>
          <w:p w14:paraId="01DE024B"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PL_3_MT </w:t>
            </w:r>
          </w:p>
        </w:tc>
        <w:tc>
          <w:tcPr>
            <w:tcW w:w="497" w:type="pct"/>
            <w:tcBorders>
              <w:top w:val="single" w:sz="6" w:space="0" w:color="auto"/>
              <w:left w:val="single" w:sz="6" w:space="0" w:color="auto"/>
              <w:bottom w:val="single" w:sz="6" w:space="0" w:color="auto"/>
              <w:right w:val="single" w:sz="6" w:space="0" w:color="auto"/>
            </w:tcBorders>
            <w:hideMark/>
          </w:tcPr>
          <w:p w14:paraId="3D0A9A4E"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Poland </w:t>
            </w:r>
          </w:p>
        </w:tc>
        <w:tc>
          <w:tcPr>
            <w:tcW w:w="314" w:type="pct"/>
            <w:tcBorders>
              <w:top w:val="single" w:sz="6" w:space="0" w:color="auto"/>
              <w:left w:val="single" w:sz="6" w:space="0" w:color="auto"/>
              <w:bottom w:val="single" w:sz="6" w:space="0" w:color="auto"/>
              <w:right w:val="single" w:sz="6" w:space="0" w:color="auto"/>
            </w:tcBorders>
            <w:hideMark/>
          </w:tcPr>
          <w:p w14:paraId="5ACE6D38"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2016 </w:t>
            </w:r>
          </w:p>
        </w:tc>
        <w:tc>
          <w:tcPr>
            <w:tcW w:w="782" w:type="pct"/>
            <w:tcBorders>
              <w:top w:val="single" w:sz="6" w:space="0" w:color="auto"/>
              <w:left w:val="single" w:sz="6" w:space="0" w:color="auto"/>
              <w:bottom w:val="single" w:sz="6" w:space="0" w:color="auto"/>
              <w:right w:val="single" w:sz="6" w:space="0" w:color="auto"/>
            </w:tcBorders>
            <w:hideMark/>
          </w:tcPr>
          <w:p w14:paraId="3C40E0D9"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0 </w:t>
            </w:r>
          </w:p>
        </w:tc>
        <w:tc>
          <w:tcPr>
            <w:tcW w:w="939" w:type="pct"/>
            <w:tcBorders>
              <w:top w:val="single" w:sz="6" w:space="0" w:color="auto"/>
              <w:left w:val="single" w:sz="6" w:space="0" w:color="auto"/>
              <w:bottom w:val="single" w:sz="6" w:space="0" w:color="auto"/>
              <w:right w:val="single" w:sz="6" w:space="0" w:color="auto"/>
            </w:tcBorders>
            <w:hideMark/>
          </w:tcPr>
          <w:p w14:paraId="1FFEC711"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76400 </w:t>
            </w:r>
          </w:p>
        </w:tc>
        <w:tc>
          <w:tcPr>
            <w:tcW w:w="1874" w:type="pct"/>
            <w:tcBorders>
              <w:top w:val="single" w:sz="6" w:space="0" w:color="auto"/>
              <w:left w:val="single" w:sz="6" w:space="0" w:color="auto"/>
              <w:bottom w:val="single" w:sz="6" w:space="0" w:color="auto"/>
              <w:right w:val="single" w:sz="6" w:space="0" w:color="auto"/>
            </w:tcBorders>
            <w:hideMark/>
          </w:tcPr>
          <w:p w14:paraId="0C278FAD" w14:textId="512624B1"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rename</w:t>
            </w:r>
            <w:r w:rsidR="00A1054B" w:rsidRPr="00524A62">
              <w:rPr>
                <w:rFonts w:ascii="Calibri" w:eastAsia="Times New Roman" w:hAnsi="Calibri" w:cs="Calibri"/>
                <w:lang w:val="en-US"/>
              </w:rPr>
              <w:t>d</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total</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to </w:t>
            </w:r>
            <w:r w:rsidR="000D3DA5" w:rsidRPr="00524A62">
              <w:rPr>
                <w:rFonts w:ascii="Calibri" w:eastAsia="Times New Roman" w:hAnsi="Calibri" w:cs="Calibri"/>
                <w:lang w:val="en-US"/>
              </w:rPr>
              <w:t>“</w:t>
            </w:r>
            <w:r w:rsidRPr="00524A62">
              <w:rPr>
                <w:rFonts w:ascii="Calibri" w:eastAsia="Times New Roman" w:hAnsi="Calibri" w:cs="Calibri"/>
                <w:lang w:val="en-US"/>
              </w:rPr>
              <w:t>all renewables</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(as includes hydro, biogas, geothermal); remove</w:t>
            </w:r>
            <w:r w:rsidR="00A1054B" w:rsidRPr="00524A62">
              <w:rPr>
                <w:rFonts w:ascii="Calibri" w:eastAsia="Times New Roman" w:hAnsi="Calibri" w:cs="Calibri"/>
                <w:lang w:val="en-US"/>
              </w:rPr>
              <w:t>d</w:t>
            </w:r>
            <w:r w:rsidRPr="00524A62">
              <w:rPr>
                <w:rFonts w:ascii="Calibri" w:eastAsia="Times New Roman" w:hAnsi="Calibri" w:cs="Calibri"/>
                <w:lang w:val="en-US"/>
              </w:rPr>
              <w:t xml:space="preserve"> subtypes </w:t>
            </w:r>
          </w:p>
        </w:tc>
      </w:tr>
      <w:tr w:rsidR="00537CF0" w:rsidRPr="008D4356" w14:paraId="47501C9C" w14:textId="77777777" w:rsidTr="00105645">
        <w:trPr>
          <w:trHeight w:val="300"/>
        </w:trPr>
        <w:tc>
          <w:tcPr>
            <w:tcW w:w="594" w:type="pct"/>
            <w:tcBorders>
              <w:top w:val="single" w:sz="6" w:space="0" w:color="auto"/>
              <w:left w:val="single" w:sz="6" w:space="0" w:color="auto"/>
              <w:bottom w:val="single" w:sz="6" w:space="0" w:color="auto"/>
              <w:right w:val="single" w:sz="6" w:space="0" w:color="auto"/>
            </w:tcBorders>
            <w:hideMark/>
          </w:tcPr>
          <w:p w14:paraId="24446BAC"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PL_5_MT </w:t>
            </w:r>
          </w:p>
        </w:tc>
        <w:tc>
          <w:tcPr>
            <w:tcW w:w="497" w:type="pct"/>
            <w:tcBorders>
              <w:top w:val="single" w:sz="6" w:space="0" w:color="auto"/>
              <w:left w:val="single" w:sz="6" w:space="0" w:color="auto"/>
              <w:bottom w:val="single" w:sz="6" w:space="0" w:color="auto"/>
              <w:right w:val="single" w:sz="6" w:space="0" w:color="auto"/>
            </w:tcBorders>
            <w:hideMark/>
          </w:tcPr>
          <w:p w14:paraId="6FE36672"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Poland </w:t>
            </w:r>
          </w:p>
        </w:tc>
        <w:tc>
          <w:tcPr>
            <w:tcW w:w="314" w:type="pct"/>
            <w:tcBorders>
              <w:top w:val="single" w:sz="6" w:space="0" w:color="auto"/>
              <w:left w:val="single" w:sz="6" w:space="0" w:color="auto"/>
              <w:bottom w:val="single" w:sz="6" w:space="0" w:color="auto"/>
              <w:right w:val="single" w:sz="6" w:space="0" w:color="auto"/>
            </w:tcBorders>
            <w:hideMark/>
          </w:tcPr>
          <w:p w14:paraId="01DE0FC4"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2017 </w:t>
            </w:r>
          </w:p>
        </w:tc>
        <w:tc>
          <w:tcPr>
            <w:tcW w:w="782" w:type="pct"/>
            <w:tcBorders>
              <w:top w:val="single" w:sz="6" w:space="0" w:color="auto"/>
              <w:left w:val="single" w:sz="6" w:space="0" w:color="auto"/>
              <w:bottom w:val="single" w:sz="6" w:space="0" w:color="auto"/>
              <w:right w:val="single" w:sz="6" w:space="0" w:color="auto"/>
            </w:tcBorders>
            <w:hideMark/>
          </w:tcPr>
          <w:p w14:paraId="3F0F787E"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0 </w:t>
            </w:r>
          </w:p>
        </w:tc>
        <w:tc>
          <w:tcPr>
            <w:tcW w:w="939" w:type="pct"/>
            <w:tcBorders>
              <w:top w:val="single" w:sz="6" w:space="0" w:color="auto"/>
              <w:left w:val="single" w:sz="6" w:space="0" w:color="auto"/>
              <w:bottom w:val="single" w:sz="6" w:space="0" w:color="auto"/>
              <w:right w:val="single" w:sz="6" w:space="0" w:color="auto"/>
            </w:tcBorders>
            <w:hideMark/>
          </w:tcPr>
          <w:p w14:paraId="4F8E4CA5"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291000 </w:t>
            </w:r>
          </w:p>
        </w:tc>
        <w:tc>
          <w:tcPr>
            <w:tcW w:w="1874" w:type="pct"/>
            <w:tcBorders>
              <w:top w:val="single" w:sz="6" w:space="0" w:color="auto"/>
              <w:left w:val="single" w:sz="6" w:space="0" w:color="auto"/>
              <w:bottom w:val="single" w:sz="6" w:space="0" w:color="auto"/>
              <w:right w:val="single" w:sz="6" w:space="0" w:color="auto"/>
            </w:tcBorders>
            <w:hideMark/>
          </w:tcPr>
          <w:p w14:paraId="211F42BD" w14:textId="618B9EE6"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rename</w:t>
            </w:r>
            <w:r w:rsidR="00704545" w:rsidRPr="00524A62">
              <w:rPr>
                <w:rFonts w:ascii="Calibri" w:eastAsia="Times New Roman" w:hAnsi="Calibri" w:cs="Calibri"/>
                <w:lang w:val="en-US"/>
              </w:rPr>
              <w:t>d</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total</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to </w:t>
            </w:r>
            <w:r w:rsidR="000D3DA5" w:rsidRPr="00524A62">
              <w:rPr>
                <w:rFonts w:ascii="Calibri" w:eastAsia="Times New Roman" w:hAnsi="Calibri" w:cs="Calibri"/>
                <w:lang w:val="en-US"/>
              </w:rPr>
              <w:t>“</w:t>
            </w:r>
            <w:r w:rsidRPr="00524A62">
              <w:rPr>
                <w:rFonts w:ascii="Calibri" w:eastAsia="Times New Roman" w:hAnsi="Calibri" w:cs="Calibri"/>
                <w:lang w:val="en-US"/>
              </w:rPr>
              <w:t>all renewables</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(as includes hydro, biogas, geothermal); remove subtypes </w:t>
            </w:r>
          </w:p>
        </w:tc>
      </w:tr>
      <w:tr w:rsidR="00537CF0" w:rsidRPr="00524A62" w14:paraId="7B4FAC0E" w14:textId="77777777" w:rsidTr="00105645">
        <w:trPr>
          <w:trHeight w:val="300"/>
        </w:trPr>
        <w:tc>
          <w:tcPr>
            <w:tcW w:w="594" w:type="pct"/>
            <w:tcBorders>
              <w:top w:val="single" w:sz="6" w:space="0" w:color="auto"/>
              <w:left w:val="single" w:sz="6" w:space="0" w:color="auto"/>
              <w:bottom w:val="single" w:sz="6" w:space="0" w:color="auto"/>
              <w:right w:val="single" w:sz="6" w:space="0" w:color="auto"/>
            </w:tcBorders>
            <w:hideMark/>
          </w:tcPr>
          <w:p w14:paraId="67665F3E"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SI_13_MT </w:t>
            </w:r>
          </w:p>
        </w:tc>
        <w:tc>
          <w:tcPr>
            <w:tcW w:w="497" w:type="pct"/>
            <w:tcBorders>
              <w:top w:val="single" w:sz="6" w:space="0" w:color="auto"/>
              <w:left w:val="single" w:sz="6" w:space="0" w:color="auto"/>
              <w:bottom w:val="single" w:sz="6" w:space="0" w:color="auto"/>
              <w:right w:val="single" w:sz="6" w:space="0" w:color="auto"/>
            </w:tcBorders>
            <w:hideMark/>
          </w:tcPr>
          <w:p w14:paraId="5D60ADCE"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Slovenia </w:t>
            </w:r>
          </w:p>
        </w:tc>
        <w:tc>
          <w:tcPr>
            <w:tcW w:w="314" w:type="pct"/>
            <w:tcBorders>
              <w:top w:val="single" w:sz="6" w:space="0" w:color="auto"/>
              <w:left w:val="single" w:sz="6" w:space="0" w:color="auto"/>
              <w:bottom w:val="single" w:sz="6" w:space="0" w:color="auto"/>
              <w:right w:val="single" w:sz="6" w:space="0" w:color="auto"/>
            </w:tcBorders>
            <w:hideMark/>
          </w:tcPr>
          <w:p w14:paraId="60F8A155"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2019 </w:t>
            </w:r>
          </w:p>
        </w:tc>
        <w:tc>
          <w:tcPr>
            <w:tcW w:w="782" w:type="pct"/>
            <w:tcBorders>
              <w:top w:val="single" w:sz="6" w:space="0" w:color="auto"/>
              <w:left w:val="single" w:sz="6" w:space="0" w:color="auto"/>
              <w:bottom w:val="single" w:sz="6" w:space="0" w:color="auto"/>
              <w:right w:val="single" w:sz="6" w:space="0" w:color="auto"/>
            </w:tcBorders>
            <w:hideMark/>
          </w:tcPr>
          <w:p w14:paraId="3D52307E"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3130 </w:t>
            </w:r>
          </w:p>
        </w:tc>
        <w:tc>
          <w:tcPr>
            <w:tcW w:w="939" w:type="pct"/>
            <w:tcBorders>
              <w:top w:val="single" w:sz="6" w:space="0" w:color="auto"/>
              <w:left w:val="single" w:sz="6" w:space="0" w:color="auto"/>
              <w:bottom w:val="single" w:sz="6" w:space="0" w:color="auto"/>
              <w:right w:val="single" w:sz="6" w:space="0" w:color="auto"/>
            </w:tcBorders>
            <w:hideMark/>
          </w:tcPr>
          <w:p w14:paraId="151B19DB"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3120 </w:t>
            </w:r>
          </w:p>
        </w:tc>
        <w:tc>
          <w:tcPr>
            <w:tcW w:w="1874" w:type="pct"/>
            <w:tcBorders>
              <w:top w:val="single" w:sz="6" w:space="0" w:color="auto"/>
              <w:left w:val="single" w:sz="6" w:space="0" w:color="auto"/>
              <w:bottom w:val="single" w:sz="6" w:space="0" w:color="auto"/>
              <w:right w:val="single" w:sz="6" w:space="0" w:color="auto"/>
            </w:tcBorders>
            <w:hideMark/>
          </w:tcPr>
          <w:p w14:paraId="4BBBB65B" w14:textId="5540D7C8"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change</w:t>
            </w:r>
            <w:r w:rsidR="00FB466C" w:rsidRPr="00524A62">
              <w:rPr>
                <w:rFonts w:ascii="Calibri" w:eastAsia="Times New Roman" w:hAnsi="Calibri" w:cs="Calibri"/>
                <w:lang w:val="en-US"/>
              </w:rPr>
              <w:t>d</w:t>
            </w:r>
            <w:r w:rsidRPr="00524A62">
              <w:rPr>
                <w:rFonts w:ascii="Calibri" w:eastAsia="Times New Roman" w:hAnsi="Calibri" w:cs="Calibri"/>
                <w:lang w:val="en-US"/>
              </w:rPr>
              <w:t xml:space="preserve"> to correct values </w:t>
            </w:r>
          </w:p>
        </w:tc>
      </w:tr>
      <w:tr w:rsidR="00537CF0" w:rsidRPr="00524A62" w14:paraId="3EB0CEA5" w14:textId="77777777" w:rsidTr="00105645">
        <w:trPr>
          <w:trHeight w:val="300"/>
        </w:trPr>
        <w:tc>
          <w:tcPr>
            <w:tcW w:w="594" w:type="pct"/>
            <w:tcBorders>
              <w:top w:val="single" w:sz="6" w:space="0" w:color="auto"/>
              <w:left w:val="single" w:sz="6" w:space="0" w:color="auto"/>
              <w:bottom w:val="single" w:sz="6" w:space="0" w:color="auto"/>
              <w:right w:val="single" w:sz="6" w:space="0" w:color="auto"/>
            </w:tcBorders>
            <w:hideMark/>
          </w:tcPr>
          <w:p w14:paraId="3A887D9D"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SI_14_MT </w:t>
            </w:r>
          </w:p>
        </w:tc>
        <w:tc>
          <w:tcPr>
            <w:tcW w:w="497" w:type="pct"/>
            <w:tcBorders>
              <w:top w:val="single" w:sz="6" w:space="0" w:color="auto"/>
              <w:left w:val="single" w:sz="6" w:space="0" w:color="auto"/>
              <w:bottom w:val="single" w:sz="6" w:space="0" w:color="auto"/>
              <w:right w:val="single" w:sz="6" w:space="0" w:color="auto"/>
            </w:tcBorders>
            <w:hideMark/>
          </w:tcPr>
          <w:p w14:paraId="2147B280"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Slovenia </w:t>
            </w:r>
          </w:p>
        </w:tc>
        <w:tc>
          <w:tcPr>
            <w:tcW w:w="314" w:type="pct"/>
            <w:tcBorders>
              <w:top w:val="single" w:sz="6" w:space="0" w:color="auto"/>
              <w:left w:val="single" w:sz="6" w:space="0" w:color="auto"/>
              <w:bottom w:val="single" w:sz="6" w:space="0" w:color="auto"/>
              <w:right w:val="single" w:sz="6" w:space="0" w:color="auto"/>
            </w:tcBorders>
            <w:hideMark/>
          </w:tcPr>
          <w:p w14:paraId="56979065"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2019 </w:t>
            </w:r>
          </w:p>
        </w:tc>
        <w:tc>
          <w:tcPr>
            <w:tcW w:w="782" w:type="pct"/>
            <w:tcBorders>
              <w:top w:val="single" w:sz="6" w:space="0" w:color="auto"/>
              <w:left w:val="single" w:sz="6" w:space="0" w:color="auto"/>
              <w:bottom w:val="single" w:sz="6" w:space="0" w:color="auto"/>
              <w:right w:val="single" w:sz="6" w:space="0" w:color="auto"/>
            </w:tcBorders>
            <w:hideMark/>
          </w:tcPr>
          <w:p w14:paraId="0F8B5FDD"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7320 </w:t>
            </w:r>
          </w:p>
        </w:tc>
        <w:tc>
          <w:tcPr>
            <w:tcW w:w="939" w:type="pct"/>
            <w:tcBorders>
              <w:top w:val="single" w:sz="6" w:space="0" w:color="auto"/>
              <w:left w:val="single" w:sz="6" w:space="0" w:color="auto"/>
              <w:bottom w:val="single" w:sz="6" w:space="0" w:color="auto"/>
              <w:right w:val="single" w:sz="6" w:space="0" w:color="auto"/>
            </w:tcBorders>
            <w:hideMark/>
          </w:tcPr>
          <w:p w14:paraId="70E96DB6"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7316 </w:t>
            </w:r>
          </w:p>
        </w:tc>
        <w:tc>
          <w:tcPr>
            <w:tcW w:w="1874" w:type="pct"/>
            <w:tcBorders>
              <w:top w:val="single" w:sz="6" w:space="0" w:color="auto"/>
              <w:left w:val="single" w:sz="6" w:space="0" w:color="auto"/>
              <w:bottom w:val="single" w:sz="6" w:space="0" w:color="auto"/>
              <w:right w:val="single" w:sz="6" w:space="0" w:color="auto"/>
            </w:tcBorders>
            <w:hideMark/>
          </w:tcPr>
          <w:p w14:paraId="4622C372" w14:textId="0D8666EA"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change</w:t>
            </w:r>
            <w:r w:rsidR="00E07F34" w:rsidRPr="00524A62">
              <w:rPr>
                <w:rFonts w:ascii="Calibri" w:eastAsia="Times New Roman" w:hAnsi="Calibri" w:cs="Calibri"/>
                <w:lang w:val="en-US"/>
              </w:rPr>
              <w:t>d</w:t>
            </w:r>
            <w:r w:rsidRPr="00524A62">
              <w:rPr>
                <w:rFonts w:ascii="Calibri" w:eastAsia="Times New Roman" w:hAnsi="Calibri" w:cs="Calibri"/>
                <w:lang w:val="en-US"/>
              </w:rPr>
              <w:t xml:space="preserve"> to correct values</w:t>
            </w:r>
          </w:p>
        </w:tc>
      </w:tr>
      <w:tr w:rsidR="00537CF0" w:rsidRPr="00524A62" w14:paraId="6BFA2720" w14:textId="77777777" w:rsidTr="00105645">
        <w:trPr>
          <w:trHeight w:val="300"/>
        </w:trPr>
        <w:tc>
          <w:tcPr>
            <w:tcW w:w="594" w:type="pct"/>
            <w:tcBorders>
              <w:top w:val="single" w:sz="6" w:space="0" w:color="auto"/>
              <w:left w:val="single" w:sz="6" w:space="0" w:color="auto"/>
              <w:bottom w:val="single" w:sz="6" w:space="0" w:color="auto"/>
              <w:right w:val="single" w:sz="6" w:space="0" w:color="auto"/>
            </w:tcBorders>
            <w:hideMark/>
          </w:tcPr>
          <w:p w14:paraId="1FF46ECE"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SI_6_MT </w:t>
            </w:r>
          </w:p>
        </w:tc>
        <w:tc>
          <w:tcPr>
            <w:tcW w:w="497" w:type="pct"/>
            <w:tcBorders>
              <w:top w:val="single" w:sz="6" w:space="0" w:color="auto"/>
              <w:left w:val="single" w:sz="6" w:space="0" w:color="auto"/>
              <w:bottom w:val="single" w:sz="6" w:space="0" w:color="auto"/>
              <w:right w:val="single" w:sz="6" w:space="0" w:color="auto"/>
            </w:tcBorders>
            <w:hideMark/>
          </w:tcPr>
          <w:p w14:paraId="7F4B86A9"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Slovenia </w:t>
            </w:r>
          </w:p>
        </w:tc>
        <w:tc>
          <w:tcPr>
            <w:tcW w:w="314" w:type="pct"/>
            <w:tcBorders>
              <w:top w:val="single" w:sz="6" w:space="0" w:color="auto"/>
              <w:left w:val="single" w:sz="6" w:space="0" w:color="auto"/>
              <w:bottom w:val="single" w:sz="6" w:space="0" w:color="auto"/>
              <w:right w:val="single" w:sz="6" w:space="0" w:color="auto"/>
            </w:tcBorders>
            <w:hideMark/>
          </w:tcPr>
          <w:p w14:paraId="0F79F995"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2017 </w:t>
            </w:r>
          </w:p>
        </w:tc>
        <w:tc>
          <w:tcPr>
            <w:tcW w:w="782" w:type="pct"/>
            <w:tcBorders>
              <w:top w:val="single" w:sz="6" w:space="0" w:color="auto"/>
              <w:left w:val="single" w:sz="6" w:space="0" w:color="auto"/>
              <w:bottom w:val="single" w:sz="6" w:space="0" w:color="auto"/>
              <w:right w:val="single" w:sz="6" w:space="0" w:color="auto"/>
            </w:tcBorders>
            <w:hideMark/>
          </w:tcPr>
          <w:p w14:paraId="55688A17"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89400 </w:t>
            </w:r>
          </w:p>
        </w:tc>
        <w:tc>
          <w:tcPr>
            <w:tcW w:w="939" w:type="pct"/>
            <w:tcBorders>
              <w:top w:val="single" w:sz="6" w:space="0" w:color="auto"/>
              <w:left w:val="single" w:sz="6" w:space="0" w:color="auto"/>
              <w:bottom w:val="single" w:sz="6" w:space="0" w:color="auto"/>
              <w:right w:val="single" w:sz="6" w:space="0" w:color="auto"/>
            </w:tcBorders>
            <w:hideMark/>
          </w:tcPr>
          <w:p w14:paraId="268680B4"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81620 </w:t>
            </w:r>
          </w:p>
        </w:tc>
        <w:tc>
          <w:tcPr>
            <w:tcW w:w="1874" w:type="pct"/>
            <w:tcBorders>
              <w:top w:val="single" w:sz="6" w:space="0" w:color="auto"/>
              <w:left w:val="single" w:sz="6" w:space="0" w:color="auto"/>
              <w:bottom w:val="single" w:sz="6" w:space="0" w:color="auto"/>
              <w:right w:val="single" w:sz="6" w:space="0" w:color="auto"/>
            </w:tcBorders>
            <w:hideMark/>
          </w:tcPr>
          <w:p w14:paraId="110445E5" w14:textId="0F13B255"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change</w:t>
            </w:r>
            <w:r w:rsidR="00B6775C" w:rsidRPr="00524A62">
              <w:rPr>
                <w:rFonts w:ascii="Calibri" w:eastAsia="Times New Roman" w:hAnsi="Calibri" w:cs="Calibri"/>
                <w:lang w:val="en-US"/>
              </w:rPr>
              <w:t>d</w:t>
            </w:r>
            <w:r w:rsidRPr="00524A62">
              <w:rPr>
                <w:rFonts w:ascii="Calibri" w:eastAsia="Times New Roman" w:hAnsi="Calibri" w:cs="Calibri"/>
                <w:lang w:val="en-US"/>
              </w:rPr>
              <w:t xml:space="preserve"> to correct values</w:t>
            </w:r>
          </w:p>
        </w:tc>
      </w:tr>
      <w:tr w:rsidR="00537CF0" w:rsidRPr="00524A62" w14:paraId="3AF216BD" w14:textId="77777777" w:rsidTr="00105645">
        <w:trPr>
          <w:trHeight w:val="300"/>
        </w:trPr>
        <w:tc>
          <w:tcPr>
            <w:tcW w:w="594" w:type="pct"/>
            <w:tcBorders>
              <w:top w:val="single" w:sz="6" w:space="0" w:color="auto"/>
              <w:left w:val="single" w:sz="6" w:space="0" w:color="auto"/>
              <w:bottom w:val="single" w:sz="6" w:space="0" w:color="auto"/>
              <w:right w:val="single" w:sz="6" w:space="0" w:color="auto"/>
            </w:tcBorders>
            <w:hideMark/>
          </w:tcPr>
          <w:p w14:paraId="76BBD4A8"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SI_7_MT </w:t>
            </w:r>
          </w:p>
        </w:tc>
        <w:tc>
          <w:tcPr>
            <w:tcW w:w="497" w:type="pct"/>
            <w:tcBorders>
              <w:top w:val="single" w:sz="6" w:space="0" w:color="auto"/>
              <w:left w:val="single" w:sz="6" w:space="0" w:color="auto"/>
              <w:bottom w:val="single" w:sz="6" w:space="0" w:color="auto"/>
              <w:right w:val="single" w:sz="6" w:space="0" w:color="auto"/>
            </w:tcBorders>
            <w:hideMark/>
          </w:tcPr>
          <w:p w14:paraId="1EDA2FBD"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Slovenia </w:t>
            </w:r>
          </w:p>
        </w:tc>
        <w:tc>
          <w:tcPr>
            <w:tcW w:w="314" w:type="pct"/>
            <w:tcBorders>
              <w:top w:val="single" w:sz="6" w:space="0" w:color="auto"/>
              <w:left w:val="single" w:sz="6" w:space="0" w:color="auto"/>
              <w:bottom w:val="single" w:sz="6" w:space="0" w:color="auto"/>
              <w:right w:val="single" w:sz="6" w:space="0" w:color="auto"/>
            </w:tcBorders>
            <w:hideMark/>
          </w:tcPr>
          <w:p w14:paraId="33661F22"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2017 </w:t>
            </w:r>
          </w:p>
        </w:tc>
        <w:tc>
          <w:tcPr>
            <w:tcW w:w="782" w:type="pct"/>
            <w:tcBorders>
              <w:top w:val="single" w:sz="6" w:space="0" w:color="auto"/>
              <w:left w:val="single" w:sz="6" w:space="0" w:color="auto"/>
              <w:bottom w:val="single" w:sz="6" w:space="0" w:color="auto"/>
              <w:right w:val="single" w:sz="6" w:space="0" w:color="auto"/>
            </w:tcBorders>
            <w:hideMark/>
          </w:tcPr>
          <w:p w14:paraId="6FC51B0A"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8660 </w:t>
            </w:r>
          </w:p>
        </w:tc>
        <w:tc>
          <w:tcPr>
            <w:tcW w:w="939" w:type="pct"/>
            <w:tcBorders>
              <w:top w:val="single" w:sz="6" w:space="0" w:color="auto"/>
              <w:left w:val="single" w:sz="6" w:space="0" w:color="auto"/>
              <w:bottom w:val="single" w:sz="6" w:space="0" w:color="auto"/>
              <w:right w:val="single" w:sz="6" w:space="0" w:color="auto"/>
            </w:tcBorders>
            <w:hideMark/>
          </w:tcPr>
          <w:p w14:paraId="77AB379B" w14:textId="77777777"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7780 </w:t>
            </w:r>
          </w:p>
        </w:tc>
        <w:tc>
          <w:tcPr>
            <w:tcW w:w="1874" w:type="pct"/>
            <w:tcBorders>
              <w:top w:val="single" w:sz="6" w:space="0" w:color="auto"/>
              <w:left w:val="single" w:sz="6" w:space="0" w:color="auto"/>
              <w:bottom w:val="single" w:sz="6" w:space="0" w:color="auto"/>
              <w:right w:val="single" w:sz="6" w:space="0" w:color="auto"/>
            </w:tcBorders>
            <w:hideMark/>
          </w:tcPr>
          <w:p w14:paraId="7E812194" w14:textId="320099A6" w:rsidR="00537CF0" w:rsidRPr="00524A62" w:rsidRDefault="00537CF0" w:rsidP="00537CF0">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change</w:t>
            </w:r>
            <w:r w:rsidR="007F1401" w:rsidRPr="00524A62">
              <w:rPr>
                <w:rFonts w:ascii="Calibri" w:eastAsia="Times New Roman" w:hAnsi="Calibri" w:cs="Calibri"/>
                <w:lang w:val="en-US"/>
              </w:rPr>
              <w:t>d</w:t>
            </w:r>
            <w:r w:rsidRPr="00524A62">
              <w:rPr>
                <w:rFonts w:ascii="Calibri" w:eastAsia="Times New Roman" w:hAnsi="Calibri" w:cs="Calibri"/>
                <w:lang w:val="en-US"/>
              </w:rPr>
              <w:t xml:space="preserve"> to correct values</w:t>
            </w:r>
          </w:p>
        </w:tc>
      </w:tr>
    </w:tbl>
    <w:p w14:paraId="2DE300EE" w14:textId="5D00569D" w:rsidR="00BD451A" w:rsidRPr="00524A62" w:rsidRDefault="00BD451A" w:rsidP="00BD451A">
      <w:pPr>
        <w:pStyle w:val="paragraph"/>
        <w:spacing w:before="0" w:beforeAutospacing="0" w:after="0" w:afterAutospacing="0"/>
        <w:textAlignment w:val="baseline"/>
        <w:rPr>
          <w:rFonts w:ascii="Segoe UI" w:hAnsi="Segoe UI" w:cs="Segoe UI"/>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30"/>
        <w:gridCol w:w="1749"/>
        <w:gridCol w:w="1492"/>
        <w:gridCol w:w="4185"/>
      </w:tblGrid>
      <w:tr w:rsidR="00BD451A" w:rsidRPr="00524A62" w14:paraId="2FB89543"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78A7729D"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b/>
                <w:bCs/>
                <w:lang w:val="en-US"/>
              </w:rPr>
              <w:t>AURESII_id</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4AE4EE2A"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b/>
                <w:bCs/>
                <w:lang w:val="en-US"/>
              </w:rPr>
              <w:t>Tech type</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hideMark/>
          </w:tcPr>
          <w:p w14:paraId="4B91A849"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b/>
                <w:bCs/>
                <w:lang w:val="en-US"/>
              </w:rPr>
              <w:t>Amount</w:t>
            </w:r>
            <w:r w:rsidRPr="00524A62">
              <w:rPr>
                <w:rFonts w:ascii="Calibri" w:eastAsia="Times New Roman" w:hAnsi="Calibri" w:cs="Calibri"/>
                <w:lang w:val="en-US"/>
              </w:rPr>
              <w:t> </w:t>
            </w:r>
          </w:p>
        </w:tc>
        <w:tc>
          <w:tcPr>
            <w:tcW w:w="4455" w:type="dxa"/>
            <w:tcBorders>
              <w:top w:val="single" w:sz="6" w:space="0" w:color="auto"/>
              <w:left w:val="single" w:sz="6" w:space="0" w:color="auto"/>
              <w:bottom w:val="single" w:sz="6" w:space="0" w:color="auto"/>
              <w:right w:val="single" w:sz="6" w:space="0" w:color="auto"/>
            </w:tcBorders>
            <w:hideMark/>
          </w:tcPr>
          <w:p w14:paraId="2DF1C8FE"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b/>
                <w:bCs/>
                <w:lang w:val="en-US"/>
              </w:rPr>
              <w:t>Govt data</w:t>
            </w:r>
            <w:r w:rsidRPr="00524A62">
              <w:rPr>
                <w:rFonts w:ascii="Calibri" w:eastAsia="Times New Roman" w:hAnsi="Calibri" w:cs="Calibri"/>
                <w:lang w:val="en-US"/>
              </w:rPr>
              <w:t> </w:t>
            </w:r>
          </w:p>
        </w:tc>
      </w:tr>
      <w:tr w:rsidR="00BD451A" w:rsidRPr="00524A62" w14:paraId="24057FED"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5742EEC6"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SI_6_MT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3DCF0E0D"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Total</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hideMark/>
          </w:tcPr>
          <w:p w14:paraId="4B5AE6AF"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81620</w:t>
            </w:r>
            <w:r w:rsidRPr="00524A62">
              <w:rPr>
                <w:rFonts w:ascii="Calibri" w:eastAsia="Times New Roman" w:hAnsi="Calibri" w:cs="Calibri"/>
                <w:lang w:val="en-US"/>
              </w:rPr>
              <w:t> </w:t>
            </w:r>
          </w:p>
        </w:tc>
        <w:tc>
          <w:tcPr>
            <w:tcW w:w="4455" w:type="dxa"/>
            <w:tcBorders>
              <w:top w:val="single" w:sz="6" w:space="0" w:color="auto"/>
              <w:left w:val="single" w:sz="6" w:space="0" w:color="auto"/>
              <w:bottom w:val="single" w:sz="6" w:space="0" w:color="auto"/>
              <w:right w:val="single" w:sz="6" w:space="0" w:color="auto"/>
            </w:tcBorders>
            <w:hideMark/>
          </w:tcPr>
          <w:p w14:paraId="795098DE"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81602</w:t>
            </w:r>
            <w:r w:rsidRPr="00524A62">
              <w:rPr>
                <w:rFonts w:ascii="Calibri" w:eastAsia="Times New Roman" w:hAnsi="Calibri" w:cs="Calibri"/>
                <w:lang w:val="en-US"/>
              </w:rPr>
              <w:t> </w:t>
            </w:r>
          </w:p>
        </w:tc>
      </w:tr>
      <w:tr w:rsidR="00BD451A" w:rsidRPr="00524A62" w14:paraId="101FD25D"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02096392"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SI_6_MT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3D3D7B8E"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Onshore wind</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hideMark/>
          </w:tcPr>
          <w:p w14:paraId="7AB9D42C"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77950</w:t>
            </w:r>
            <w:r w:rsidRPr="00524A62">
              <w:rPr>
                <w:rFonts w:ascii="Calibri" w:eastAsia="Times New Roman" w:hAnsi="Calibri" w:cs="Calibri"/>
                <w:lang w:val="en-US"/>
              </w:rPr>
              <w:t> </w:t>
            </w:r>
          </w:p>
        </w:tc>
        <w:tc>
          <w:tcPr>
            <w:tcW w:w="4455" w:type="dxa"/>
            <w:tcBorders>
              <w:top w:val="single" w:sz="6" w:space="0" w:color="auto"/>
              <w:left w:val="single" w:sz="6" w:space="0" w:color="auto"/>
              <w:bottom w:val="single" w:sz="6" w:space="0" w:color="auto"/>
              <w:right w:val="single" w:sz="6" w:space="0" w:color="auto"/>
            </w:tcBorders>
            <w:hideMark/>
          </w:tcPr>
          <w:p w14:paraId="460D87CE"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77923</w:t>
            </w:r>
            <w:r w:rsidRPr="00524A62">
              <w:rPr>
                <w:rFonts w:ascii="Calibri" w:eastAsia="Times New Roman" w:hAnsi="Calibri" w:cs="Calibri"/>
                <w:lang w:val="en-US"/>
              </w:rPr>
              <w:t> </w:t>
            </w:r>
          </w:p>
        </w:tc>
      </w:tr>
      <w:tr w:rsidR="00BD451A" w:rsidRPr="00524A62" w14:paraId="795861D3"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2FD5FC2C"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SI_6_MT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3F37FB47"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PV</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hideMark/>
          </w:tcPr>
          <w:p w14:paraId="61AF9DB8"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3120</w:t>
            </w:r>
            <w:r w:rsidRPr="00524A62">
              <w:rPr>
                <w:rFonts w:ascii="Calibri" w:eastAsia="Times New Roman" w:hAnsi="Calibri" w:cs="Calibri"/>
                <w:lang w:val="en-US"/>
              </w:rPr>
              <w:t> </w:t>
            </w:r>
          </w:p>
        </w:tc>
        <w:tc>
          <w:tcPr>
            <w:tcW w:w="4455" w:type="dxa"/>
            <w:tcBorders>
              <w:top w:val="single" w:sz="6" w:space="0" w:color="auto"/>
              <w:left w:val="single" w:sz="6" w:space="0" w:color="auto"/>
              <w:bottom w:val="single" w:sz="6" w:space="0" w:color="auto"/>
              <w:right w:val="single" w:sz="6" w:space="0" w:color="auto"/>
            </w:tcBorders>
            <w:hideMark/>
          </w:tcPr>
          <w:p w14:paraId="29428E43"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3129</w:t>
            </w:r>
            <w:r w:rsidRPr="00524A62">
              <w:rPr>
                <w:rFonts w:ascii="Calibri" w:eastAsia="Times New Roman" w:hAnsi="Calibri" w:cs="Calibri"/>
                <w:lang w:val="en-US"/>
              </w:rPr>
              <w:t> </w:t>
            </w:r>
          </w:p>
        </w:tc>
      </w:tr>
      <w:tr w:rsidR="00BD451A" w:rsidRPr="00524A62" w14:paraId="00BC3935"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4EADD26A"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SI_6_MT </w:t>
            </w:r>
          </w:p>
        </w:tc>
        <w:tc>
          <w:tcPr>
            <w:tcW w:w="1800" w:type="dxa"/>
            <w:tcBorders>
              <w:top w:val="single" w:sz="6" w:space="0" w:color="auto"/>
              <w:left w:val="single" w:sz="6" w:space="0" w:color="auto"/>
              <w:bottom w:val="single" w:sz="6" w:space="0" w:color="auto"/>
              <w:right w:val="single" w:sz="6" w:space="0" w:color="auto"/>
            </w:tcBorders>
            <w:hideMark/>
          </w:tcPr>
          <w:p w14:paraId="7D6E0299"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Bioenergy </w:t>
            </w:r>
          </w:p>
        </w:tc>
        <w:tc>
          <w:tcPr>
            <w:tcW w:w="1515" w:type="dxa"/>
            <w:tcBorders>
              <w:top w:val="single" w:sz="6" w:space="0" w:color="auto"/>
              <w:left w:val="single" w:sz="6" w:space="0" w:color="auto"/>
              <w:bottom w:val="single" w:sz="6" w:space="0" w:color="auto"/>
              <w:right w:val="single" w:sz="6" w:space="0" w:color="auto"/>
            </w:tcBorders>
            <w:hideMark/>
          </w:tcPr>
          <w:p w14:paraId="00669C79"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200 </w:t>
            </w:r>
          </w:p>
        </w:tc>
        <w:tc>
          <w:tcPr>
            <w:tcW w:w="4455" w:type="dxa"/>
            <w:tcBorders>
              <w:top w:val="single" w:sz="6" w:space="0" w:color="auto"/>
              <w:left w:val="single" w:sz="6" w:space="0" w:color="auto"/>
              <w:bottom w:val="single" w:sz="6" w:space="0" w:color="auto"/>
              <w:right w:val="single" w:sz="6" w:space="0" w:color="auto"/>
            </w:tcBorders>
            <w:hideMark/>
          </w:tcPr>
          <w:p w14:paraId="7B8D8F37"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200 </w:t>
            </w:r>
          </w:p>
        </w:tc>
      </w:tr>
      <w:tr w:rsidR="00BD451A" w:rsidRPr="00524A62" w14:paraId="401AC8A0"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4FEB4A4B"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SI_6_MT </w:t>
            </w:r>
          </w:p>
        </w:tc>
        <w:tc>
          <w:tcPr>
            <w:tcW w:w="1800" w:type="dxa"/>
            <w:tcBorders>
              <w:top w:val="single" w:sz="6" w:space="0" w:color="auto"/>
              <w:left w:val="single" w:sz="6" w:space="0" w:color="auto"/>
              <w:bottom w:val="single" w:sz="6" w:space="0" w:color="auto"/>
              <w:right w:val="single" w:sz="6" w:space="0" w:color="auto"/>
            </w:tcBorders>
            <w:hideMark/>
          </w:tcPr>
          <w:p w14:paraId="108E0740"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Hydropower </w:t>
            </w:r>
          </w:p>
        </w:tc>
        <w:tc>
          <w:tcPr>
            <w:tcW w:w="1515" w:type="dxa"/>
            <w:tcBorders>
              <w:top w:val="single" w:sz="6" w:space="0" w:color="auto"/>
              <w:left w:val="single" w:sz="6" w:space="0" w:color="auto"/>
              <w:bottom w:val="single" w:sz="6" w:space="0" w:color="auto"/>
              <w:right w:val="single" w:sz="6" w:space="0" w:color="auto"/>
            </w:tcBorders>
            <w:hideMark/>
          </w:tcPr>
          <w:p w14:paraId="33B8E5B0"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350 </w:t>
            </w:r>
          </w:p>
        </w:tc>
        <w:tc>
          <w:tcPr>
            <w:tcW w:w="4455" w:type="dxa"/>
            <w:tcBorders>
              <w:top w:val="single" w:sz="6" w:space="0" w:color="auto"/>
              <w:left w:val="single" w:sz="6" w:space="0" w:color="auto"/>
              <w:bottom w:val="single" w:sz="6" w:space="0" w:color="auto"/>
              <w:right w:val="single" w:sz="6" w:space="0" w:color="auto"/>
            </w:tcBorders>
            <w:hideMark/>
          </w:tcPr>
          <w:p w14:paraId="575056B2"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350 </w:t>
            </w:r>
          </w:p>
        </w:tc>
      </w:tr>
      <w:tr w:rsidR="00BD451A" w:rsidRPr="00524A62" w14:paraId="3D18FC49"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5E8F736C"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lastRenderedPageBreak/>
              <w:t>SI_6_MT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404BD325"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Total</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hideMark/>
          </w:tcPr>
          <w:p w14:paraId="37F01546"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7780</w:t>
            </w:r>
            <w:r w:rsidRPr="00524A62">
              <w:rPr>
                <w:rFonts w:ascii="Calibri" w:eastAsia="Times New Roman" w:hAnsi="Calibri" w:cs="Calibri"/>
                <w:lang w:val="en-US"/>
              </w:rPr>
              <w:t> </w:t>
            </w:r>
          </w:p>
        </w:tc>
        <w:tc>
          <w:tcPr>
            <w:tcW w:w="4455" w:type="dxa"/>
            <w:tcBorders>
              <w:top w:val="single" w:sz="6" w:space="0" w:color="auto"/>
              <w:left w:val="single" w:sz="6" w:space="0" w:color="auto"/>
              <w:bottom w:val="single" w:sz="6" w:space="0" w:color="auto"/>
              <w:right w:val="single" w:sz="6" w:space="0" w:color="auto"/>
            </w:tcBorders>
            <w:hideMark/>
          </w:tcPr>
          <w:p w14:paraId="106CE850" w14:textId="4FA753E1" w:rsidR="00BD451A" w:rsidRPr="00524A62" w:rsidRDefault="000378D8"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NOTE</w:t>
            </w:r>
            <w:r w:rsidR="00BD451A" w:rsidRPr="00524A62">
              <w:rPr>
                <w:rFonts w:ascii="Calibri" w:eastAsia="Times New Roman" w:hAnsi="Calibri" w:cs="Calibri"/>
                <w:shd w:val="clear" w:color="auto" w:fill="FFFF00"/>
                <w:lang w:val="en-US"/>
              </w:rPr>
              <w:t xml:space="preserve"> – this is actually the total of Bioenergy and CHP in the next round (SI_MT_7). Delete observation.</w:t>
            </w:r>
            <w:r w:rsidR="00BD451A" w:rsidRPr="00524A62">
              <w:rPr>
                <w:rFonts w:ascii="Calibri" w:eastAsia="Times New Roman" w:hAnsi="Calibri" w:cs="Calibri"/>
                <w:lang w:val="en-US"/>
              </w:rPr>
              <w:t> </w:t>
            </w:r>
          </w:p>
        </w:tc>
      </w:tr>
      <w:tr w:rsidR="00BD451A" w:rsidRPr="00524A62" w14:paraId="6336EE61"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02935158"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SI_7_MT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68A441C2"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Bioenergy</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hideMark/>
          </w:tcPr>
          <w:p w14:paraId="007B9071"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400</w:t>
            </w:r>
            <w:r w:rsidRPr="00524A62">
              <w:rPr>
                <w:rFonts w:ascii="Calibri" w:eastAsia="Times New Roman" w:hAnsi="Calibri" w:cs="Calibri"/>
                <w:lang w:val="en-US"/>
              </w:rPr>
              <w:t> </w:t>
            </w:r>
          </w:p>
        </w:tc>
        <w:tc>
          <w:tcPr>
            <w:tcW w:w="4455" w:type="dxa"/>
            <w:tcBorders>
              <w:top w:val="single" w:sz="6" w:space="0" w:color="auto"/>
              <w:left w:val="single" w:sz="6" w:space="0" w:color="auto"/>
              <w:bottom w:val="single" w:sz="6" w:space="0" w:color="auto"/>
              <w:right w:val="single" w:sz="6" w:space="0" w:color="auto"/>
            </w:tcBorders>
            <w:hideMark/>
          </w:tcPr>
          <w:p w14:paraId="1F60E4D1"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1400</w:t>
            </w:r>
            <w:r w:rsidRPr="00524A62">
              <w:rPr>
                <w:rFonts w:ascii="Calibri" w:eastAsia="Times New Roman" w:hAnsi="Calibri" w:cs="Calibri"/>
                <w:lang w:val="en-US"/>
              </w:rPr>
              <w:t> </w:t>
            </w:r>
          </w:p>
        </w:tc>
      </w:tr>
      <w:tr w:rsidR="00BD451A" w:rsidRPr="00524A62" w14:paraId="51710634"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4D63FD61"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SI_7_MT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0FFC573F"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CHP</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hideMark/>
          </w:tcPr>
          <w:p w14:paraId="5EABB9AB"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7380</w:t>
            </w:r>
            <w:r w:rsidRPr="00524A62">
              <w:rPr>
                <w:rFonts w:ascii="Calibri" w:eastAsia="Times New Roman" w:hAnsi="Calibri" w:cs="Calibri"/>
                <w:lang w:val="en-US"/>
              </w:rPr>
              <w:t> </w:t>
            </w:r>
          </w:p>
        </w:tc>
        <w:tc>
          <w:tcPr>
            <w:tcW w:w="4455" w:type="dxa"/>
            <w:tcBorders>
              <w:top w:val="single" w:sz="6" w:space="0" w:color="auto"/>
              <w:left w:val="single" w:sz="6" w:space="0" w:color="auto"/>
              <w:bottom w:val="single" w:sz="6" w:space="0" w:color="auto"/>
              <w:right w:val="single" w:sz="6" w:space="0" w:color="auto"/>
            </w:tcBorders>
            <w:hideMark/>
          </w:tcPr>
          <w:p w14:paraId="7CFEAE48"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6388</w:t>
            </w:r>
            <w:r w:rsidRPr="00524A62">
              <w:rPr>
                <w:rFonts w:ascii="Calibri" w:eastAsia="Times New Roman" w:hAnsi="Calibri" w:cs="Calibri"/>
                <w:lang w:val="en-US"/>
              </w:rPr>
              <w:t> </w:t>
            </w:r>
          </w:p>
        </w:tc>
      </w:tr>
      <w:tr w:rsidR="00BD451A" w:rsidRPr="00524A62" w14:paraId="6F8E143F"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7807D114"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SI_7_MT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5EECE473"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Total</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hideMark/>
          </w:tcPr>
          <w:p w14:paraId="4104F71B" w14:textId="6396FECF"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8660 (</w:t>
            </w:r>
            <w:r w:rsidR="000378D8" w:rsidRPr="00524A62">
              <w:rPr>
                <w:rFonts w:ascii="Calibri" w:eastAsia="Times New Roman" w:hAnsi="Calibri" w:cs="Calibri"/>
                <w:shd w:val="clear" w:color="auto" w:fill="FFFF00"/>
                <w:lang w:val="en-US"/>
              </w:rPr>
              <w:t>NOTE</w:t>
            </w:r>
            <w:r w:rsidRPr="00524A62">
              <w:rPr>
                <w:rFonts w:ascii="Calibri" w:eastAsia="Times New Roman" w:hAnsi="Calibri" w:cs="Calibri"/>
                <w:shd w:val="clear" w:color="auto" w:fill="FFFF00"/>
                <w:lang w:val="en-US"/>
              </w:rPr>
              <w:t xml:space="preserve"> – actual total is 7780, miscalculated by AURES)</w:t>
            </w:r>
            <w:r w:rsidRPr="00524A62">
              <w:rPr>
                <w:rFonts w:ascii="Calibri" w:eastAsia="Times New Roman" w:hAnsi="Calibri" w:cs="Calibri"/>
                <w:lang w:val="en-US"/>
              </w:rPr>
              <w:t> </w:t>
            </w:r>
          </w:p>
        </w:tc>
        <w:tc>
          <w:tcPr>
            <w:tcW w:w="4455" w:type="dxa"/>
            <w:tcBorders>
              <w:top w:val="single" w:sz="6" w:space="0" w:color="auto"/>
              <w:left w:val="single" w:sz="6" w:space="0" w:color="auto"/>
              <w:bottom w:val="single" w:sz="6" w:space="0" w:color="auto"/>
              <w:right w:val="single" w:sz="6" w:space="0" w:color="auto"/>
            </w:tcBorders>
            <w:hideMark/>
          </w:tcPr>
          <w:p w14:paraId="76888CCA"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7788</w:t>
            </w:r>
            <w:r w:rsidRPr="00524A62">
              <w:rPr>
                <w:rFonts w:ascii="Calibri" w:eastAsia="Times New Roman" w:hAnsi="Calibri" w:cs="Calibri"/>
                <w:lang w:val="en-US"/>
              </w:rPr>
              <w:t> </w:t>
            </w:r>
          </w:p>
        </w:tc>
      </w:tr>
    </w:tbl>
    <w:p w14:paraId="38ABA042" w14:textId="77777777" w:rsidR="00BD451A" w:rsidRPr="00524A62" w:rsidRDefault="00BD451A" w:rsidP="00BD451A">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 </w:t>
      </w:r>
    </w:p>
    <w:p w14:paraId="2B2FE90E" w14:textId="77728249" w:rsidR="00BD451A" w:rsidRPr="00524A62" w:rsidRDefault="00BD451A" w:rsidP="00BD451A">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 xml:space="preserve">Here, some sub-totals were incorrect as were the totals. Data are gathered from: </w:t>
      </w:r>
      <w:hyperlink r:id="rId18" w:tgtFrame="_blank" w:history="1">
        <w:r w:rsidRPr="00524A62">
          <w:rPr>
            <w:rFonts w:ascii="Calibri" w:eastAsia="Times New Roman" w:hAnsi="Calibri" w:cs="Calibri"/>
            <w:color w:val="0563C1"/>
            <w:u w:val="single"/>
            <w:lang w:val="en-US"/>
          </w:rPr>
          <w:t>https://www.agen-rs.si/documents/10926/103769/Seznam_izbranih_2017/dd267de6-fa76-4f2b-89a2-3b98f0493aca</w:t>
        </w:r>
      </w:hyperlink>
      <w:r w:rsidRPr="00524A62">
        <w:rPr>
          <w:rFonts w:ascii="Calibri" w:eastAsia="Times New Roman" w:hAnsi="Calibri" w:cs="Calibri"/>
          <w:lang w:val="en-US"/>
        </w:rPr>
        <w:t>  </w:t>
      </w:r>
      <w:r w:rsidR="009C6B1D" w:rsidRPr="00524A62">
        <w:rPr>
          <w:rFonts w:ascii="Calibri" w:eastAsia="Times New Roman" w:hAnsi="Calibri" w:cs="Calibri"/>
          <w:lang w:val="en-US"/>
        </w:rPr>
        <w:br/>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39"/>
        <w:gridCol w:w="1757"/>
        <w:gridCol w:w="1468"/>
        <w:gridCol w:w="4192"/>
      </w:tblGrid>
      <w:tr w:rsidR="00BD451A" w:rsidRPr="00524A62" w14:paraId="408AFF76"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680C9932"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b/>
                <w:bCs/>
                <w:lang w:val="en-US"/>
              </w:rPr>
              <w:t>AURESII_id</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465E0E92"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b/>
                <w:bCs/>
                <w:lang w:val="en-US"/>
              </w:rPr>
              <w:t>Tech type</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hideMark/>
          </w:tcPr>
          <w:p w14:paraId="2161D719"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b/>
                <w:bCs/>
                <w:lang w:val="en-US"/>
              </w:rPr>
              <w:t>Amount</w:t>
            </w:r>
            <w:r w:rsidRPr="00524A62">
              <w:rPr>
                <w:rFonts w:ascii="Calibri" w:eastAsia="Times New Roman" w:hAnsi="Calibri" w:cs="Calibri"/>
                <w:lang w:val="en-US"/>
              </w:rPr>
              <w:t> </w:t>
            </w:r>
          </w:p>
        </w:tc>
        <w:tc>
          <w:tcPr>
            <w:tcW w:w="4455" w:type="dxa"/>
            <w:tcBorders>
              <w:top w:val="single" w:sz="6" w:space="0" w:color="auto"/>
              <w:left w:val="single" w:sz="6" w:space="0" w:color="auto"/>
              <w:bottom w:val="single" w:sz="6" w:space="0" w:color="auto"/>
              <w:right w:val="single" w:sz="6" w:space="0" w:color="auto"/>
            </w:tcBorders>
            <w:hideMark/>
          </w:tcPr>
          <w:p w14:paraId="4185AEAD"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b/>
                <w:bCs/>
                <w:lang w:val="en-US"/>
              </w:rPr>
              <w:t>Govt data</w:t>
            </w:r>
            <w:r w:rsidRPr="00524A62">
              <w:rPr>
                <w:rFonts w:ascii="Calibri" w:eastAsia="Times New Roman" w:hAnsi="Calibri" w:cs="Calibri"/>
                <w:lang w:val="en-US"/>
              </w:rPr>
              <w:t> </w:t>
            </w:r>
          </w:p>
        </w:tc>
      </w:tr>
      <w:tr w:rsidR="00BD451A" w:rsidRPr="00524A62" w14:paraId="1600CF7C"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2F7718D3"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SI_13_MT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07003105"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Total</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vAlign w:val="center"/>
            <w:hideMark/>
          </w:tcPr>
          <w:p w14:paraId="2D65428B"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3130</w:t>
            </w:r>
            <w:r w:rsidRPr="00524A62">
              <w:rPr>
                <w:rFonts w:ascii="Arial" w:eastAsia="Times New Roman" w:hAnsi="Arial" w:cs="Arial"/>
                <w:color w:val="000000"/>
                <w:sz w:val="20"/>
                <w:szCs w:val="20"/>
                <w:lang w:val="en-US"/>
              </w:rPr>
              <w:t> </w:t>
            </w:r>
          </w:p>
        </w:tc>
        <w:tc>
          <w:tcPr>
            <w:tcW w:w="4455" w:type="dxa"/>
            <w:tcBorders>
              <w:top w:val="single" w:sz="6" w:space="0" w:color="auto"/>
              <w:left w:val="single" w:sz="6" w:space="0" w:color="auto"/>
              <w:bottom w:val="single" w:sz="6" w:space="0" w:color="auto"/>
              <w:right w:val="single" w:sz="6" w:space="0" w:color="auto"/>
            </w:tcBorders>
            <w:vAlign w:val="center"/>
            <w:hideMark/>
          </w:tcPr>
          <w:p w14:paraId="20B68B0A"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3119</w:t>
            </w:r>
            <w:r w:rsidRPr="00524A62">
              <w:rPr>
                <w:rFonts w:ascii="Arial" w:eastAsia="Times New Roman" w:hAnsi="Arial" w:cs="Arial"/>
                <w:color w:val="000000"/>
                <w:sz w:val="20"/>
                <w:szCs w:val="20"/>
                <w:lang w:val="en-US"/>
              </w:rPr>
              <w:t> </w:t>
            </w:r>
          </w:p>
        </w:tc>
      </w:tr>
      <w:tr w:rsidR="00BD451A" w:rsidRPr="00524A62" w14:paraId="466BDC53"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38247B26"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SI_13_MT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6A9535FF"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Bioenergy</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vAlign w:val="center"/>
            <w:hideMark/>
          </w:tcPr>
          <w:p w14:paraId="794565A1"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950</w:t>
            </w:r>
            <w:r w:rsidRPr="00524A62">
              <w:rPr>
                <w:rFonts w:ascii="Arial" w:eastAsia="Times New Roman" w:hAnsi="Arial" w:cs="Arial"/>
                <w:color w:val="000000"/>
                <w:sz w:val="20"/>
                <w:szCs w:val="20"/>
                <w:lang w:val="en-US"/>
              </w:rPr>
              <w:t> </w:t>
            </w:r>
          </w:p>
        </w:tc>
        <w:tc>
          <w:tcPr>
            <w:tcW w:w="4455" w:type="dxa"/>
            <w:tcBorders>
              <w:top w:val="single" w:sz="6" w:space="0" w:color="auto"/>
              <w:left w:val="single" w:sz="6" w:space="0" w:color="auto"/>
              <w:bottom w:val="single" w:sz="6" w:space="0" w:color="auto"/>
              <w:right w:val="single" w:sz="6" w:space="0" w:color="auto"/>
            </w:tcBorders>
            <w:vAlign w:val="center"/>
            <w:hideMark/>
          </w:tcPr>
          <w:p w14:paraId="7658C433"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949</w:t>
            </w:r>
            <w:r w:rsidRPr="00524A62">
              <w:rPr>
                <w:rFonts w:ascii="Arial" w:eastAsia="Times New Roman" w:hAnsi="Arial" w:cs="Arial"/>
                <w:color w:val="000000"/>
                <w:sz w:val="20"/>
                <w:szCs w:val="20"/>
                <w:lang w:val="en-US"/>
              </w:rPr>
              <w:t> </w:t>
            </w:r>
          </w:p>
        </w:tc>
      </w:tr>
      <w:tr w:rsidR="00BD451A" w:rsidRPr="00524A62" w14:paraId="26445101"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32F04979"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SI_13_MT </w:t>
            </w:r>
          </w:p>
        </w:tc>
        <w:tc>
          <w:tcPr>
            <w:tcW w:w="1800" w:type="dxa"/>
            <w:tcBorders>
              <w:top w:val="single" w:sz="6" w:space="0" w:color="auto"/>
              <w:left w:val="single" w:sz="6" w:space="0" w:color="auto"/>
              <w:bottom w:val="single" w:sz="6" w:space="0" w:color="auto"/>
              <w:right w:val="single" w:sz="6" w:space="0" w:color="auto"/>
            </w:tcBorders>
            <w:hideMark/>
          </w:tcPr>
          <w:p w14:paraId="473F8152"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CHP </w:t>
            </w:r>
          </w:p>
        </w:tc>
        <w:tc>
          <w:tcPr>
            <w:tcW w:w="1515" w:type="dxa"/>
            <w:tcBorders>
              <w:top w:val="single" w:sz="6" w:space="0" w:color="auto"/>
              <w:left w:val="single" w:sz="6" w:space="0" w:color="auto"/>
              <w:bottom w:val="single" w:sz="6" w:space="0" w:color="auto"/>
              <w:right w:val="single" w:sz="6" w:space="0" w:color="auto"/>
            </w:tcBorders>
            <w:vAlign w:val="center"/>
            <w:hideMark/>
          </w:tcPr>
          <w:p w14:paraId="6A5102E0"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lang w:val="en-US"/>
              </w:rPr>
              <w:t>2170 </w:t>
            </w:r>
          </w:p>
        </w:tc>
        <w:tc>
          <w:tcPr>
            <w:tcW w:w="4455" w:type="dxa"/>
            <w:tcBorders>
              <w:top w:val="single" w:sz="6" w:space="0" w:color="auto"/>
              <w:left w:val="single" w:sz="6" w:space="0" w:color="auto"/>
              <w:bottom w:val="single" w:sz="6" w:space="0" w:color="auto"/>
              <w:right w:val="single" w:sz="6" w:space="0" w:color="auto"/>
            </w:tcBorders>
            <w:vAlign w:val="center"/>
            <w:hideMark/>
          </w:tcPr>
          <w:p w14:paraId="40E82E48"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lang w:val="en-US"/>
              </w:rPr>
              <w:t>2170 </w:t>
            </w:r>
          </w:p>
        </w:tc>
      </w:tr>
      <w:tr w:rsidR="00BD451A" w:rsidRPr="00524A62" w14:paraId="771D2D4E"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25E46CD4"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SI_14_MT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vAlign w:val="center"/>
            <w:hideMark/>
          </w:tcPr>
          <w:p w14:paraId="472FD635"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Total</w:t>
            </w:r>
            <w:r w:rsidRPr="00524A62">
              <w:rPr>
                <w:rFonts w:ascii="Arial" w:eastAsia="Times New Roman" w:hAnsi="Arial" w:cs="Arial"/>
                <w:color w:val="000000"/>
                <w:sz w:val="20"/>
                <w:szCs w:val="20"/>
                <w:lang w:val="en-US"/>
              </w:rPr>
              <w:t> </w:t>
            </w:r>
          </w:p>
        </w:tc>
        <w:tc>
          <w:tcPr>
            <w:tcW w:w="1515" w:type="dxa"/>
            <w:tcBorders>
              <w:top w:val="single" w:sz="6" w:space="0" w:color="auto"/>
              <w:left w:val="single" w:sz="6" w:space="0" w:color="auto"/>
              <w:bottom w:val="single" w:sz="6" w:space="0" w:color="auto"/>
              <w:right w:val="single" w:sz="6" w:space="0" w:color="auto"/>
            </w:tcBorders>
            <w:vAlign w:val="center"/>
            <w:hideMark/>
          </w:tcPr>
          <w:p w14:paraId="11399D40"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7320</w:t>
            </w:r>
            <w:r w:rsidRPr="00524A62">
              <w:rPr>
                <w:rFonts w:ascii="Arial" w:eastAsia="Times New Roman" w:hAnsi="Arial" w:cs="Arial"/>
                <w:color w:val="000000"/>
                <w:sz w:val="20"/>
                <w:szCs w:val="20"/>
                <w:lang w:val="en-US"/>
              </w:rPr>
              <w:t> </w:t>
            </w:r>
          </w:p>
        </w:tc>
        <w:tc>
          <w:tcPr>
            <w:tcW w:w="4455" w:type="dxa"/>
            <w:tcBorders>
              <w:top w:val="single" w:sz="6" w:space="0" w:color="auto"/>
              <w:left w:val="single" w:sz="6" w:space="0" w:color="auto"/>
              <w:bottom w:val="single" w:sz="6" w:space="0" w:color="auto"/>
              <w:right w:val="single" w:sz="6" w:space="0" w:color="auto"/>
            </w:tcBorders>
            <w:vAlign w:val="center"/>
            <w:hideMark/>
          </w:tcPr>
          <w:p w14:paraId="6A526C9A"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7304</w:t>
            </w:r>
            <w:r w:rsidRPr="00524A62">
              <w:rPr>
                <w:rFonts w:ascii="Arial" w:eastAsia="Times New Roman" w:hAnsi="Arial" w:cs="Arial"/>
                <w:color w:val="000000"/>
                <w:sz w:val="20"/>
                <w:szCs w:val="20"/>
                <w:lang w:val="en-US"/>
              </w:rPr>
              <w:t> </w:t>
            </w:r>
          </w:p>
        </w:tc>
      </w:tr>
      <w:tr w:rsidR="00BD451A" w:rsidRPr="00524A62" w14:paraId="4BBBD8E4"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355FEF9D"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SI_14_MT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vAlign w:val="center"/>
            <w:hideMark/>
          </w:tcPr>
          <w:p w14:paraId="3C7831A0"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PV</w:t>
            </w:r>
            <w:r w:rsidRPr="00524A62">
              <w:rPr>
                <w:rFonts w:ascii="Arial" w:eastAsia="Times New Roman" w:hAnsi="Arial" w:cs="Arial"/>
                <w:color w:val="000000"/>
                <w:sz w:val="20"/>
                <w:szCs w:val="20"/>
                <w:lang w:val="en-US"/>
              </w:rPr>
              <w:t> </w:t>
            </w:r>
          </w:p>
        </w:tc>
        <w:tc>
          <w:tcPr>
            <w:tcW w:w="1515" w:type="dxa"/>
            <w:tcBorders>
              <w:top w:val="single" w:sz="6" w:space="0" w:color="auto"/>
              <w:left w:val="single" w:sz="6" w:space="0" w:color="auto"/>
              <w:bottom w:val="single" w:sz="6" w:space="0" w:color="auto"/>
              <w:right w:val="single" w:sz="6" w:space="0" w:color="auto"/>
            </w:tcBorders>
            <w:vAlign w:val="center"/>
            <w:hideMark/>
          </w:tcPr>
          <w:p w14:paraId="6A14ADED"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4900</w:t>
            </w:r>
            <w:r w:rsidRPr="00524A62">
              <w:rPr>
                <w:rFonts w:ascii="Arial" w:eastAsia="Times New Roman" w:hAnsi="Arial" w:cs="Arial"/>
                <w:color w:val="000000"/>
                <w:sz w:val="20"/>
                <w:szCs w:val="20"/>
                <w:lang w:val="en-US"/>
              </w:rPr>
              <w:t> </w:t>
            </w:r>
          </w:p>
        </w:tc>
        <w:tc>
          <w:tcPr>
            <w:tcW w:w="4455" w:type="dxa"/>
            <w:tcBorders>
              <w:top w:val="single" w:sz="6" w:space="0" w:color="auto"/>
              <w:left w:val="single" w:sz="6" w:space="0" w:color="auto"/>
              <w:bottom w:val="single" w:sz="6" w:space="0" w:color="auto"/>
              <w:right w:val="single" w:sz="6" w:space="0" w:color="auto"/>
            </w:tcBorders>
            <w:vAlign w:val="center"/>
            <w:hideMark/>
          </w:tcPr>
          <w:p w14:paraId="36613F08"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4898</w:t>
            </w:r>
            <w:r w:rsidRPr="00524A62">
              <w:rPr>
                <w:rFonts w:ascii="Arial" w:eastAsia="Times New Roman" w:hAnsi="Arial" w:cs="Arial"/>
                <w:color w:val="000000"/>
                <w:sz w:val="20"/>
                <w:szCs w:val="20"/>
                <w:lang w:val="en-US"/>
              </w:rPr>
              <w:t> </w:t>
            </w:r>
          </w:p>
        </w:tc>
      </w:tr>
      <w:tr w:rsidR="00BD451A" w:rsidRPr="00524A62" w14:paraId="311D4294"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007C8B82"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SI_14_MT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vAlign w:val="center"/>
            <w:hideMark/>
          </w:tcPr>
          <w:p w14:paraId="4500A430"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Bioenergy</w:t>
            </w:r>
            <w:r w:rsidRPr="00524A62">
              <w:rPr>
                <w:rFonts w:ascii="Arial" w:eastAsia="Times New Roman" w:hAnsi="Arial" w:cs="Arial"/>
                <w:color w:val="000000"/>
                <w:sz w:val="20"/>
                <w:szCs w:val="20"/>
                <w:lang w:val="en-US"/>
              </w:rPr>
              <w:t> </w:t>
            </w:r>
          </w:p>
        </w:tc>
        <w:tc>
          <w:tcPr>
            <w:tcW w:w="1515" w:type="dxa"/>
            <w:tcBorders>
              <w:top w:val="single" w:sz="6" w:space="0" w:color="auto"/>
              <w:left w:val="single" w:sz="6" w:space="0" w:color="auto"/>
              <w:bottom w:val="single" w:sz="6" w:space="0" w:color="auto"/>
              <w:right w:val="single" w:sz="6" w:space="0" w:color="auto"/>
            </w:tcBorders>
            <w:vAlign w:val="center"/>
            <w:hideMark/>
          </w:tcPr>
          <w:p w14:paraId="44A7947D"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50</w:t>
            </w:r>
            <w:r w:rsidRPr="00524A62">
              <w:rPr>
                <w:rFonts w:ascii="Arial" w:eastAsia="Times New Roman" w:hAnsi="Arial" w:cs="Arial"/>
                <w:color w:val="000000"/>
                <w:sz w:val="20"/>
                <w:szCs w:val="20"/>
                <w:lang w:val="en-US"/>
              </w:rPr>
              <w:t> </w:t>
            </w:r>
          </w:p>
        </w:tc>
        <w:tc>
          <w:tcPr>
            <w:tcW w:w="4455" w:type="dxa"/>
            <w:tcBorders>
              <w:top w:val="single" w:sz="6" w:space="0" w:color="auto"/>
              <w:left w:val="single" w:sz="6" w:space="0" w:color="auto"/>
              <w:bottom w:val="single" w:sz="6" w:space="0" w:color="auto"/>
              <w:right w:val="single" w:sz="6" w:space="0" w:color="auto"/>
            </w:tcBorders>
            <w:vAlign w:val="center"/>
            <w:hideMark/>
          </w:tcPr>
          <w:p w14:paraId="6BF8568D"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49</w:t>
            </w:r>
            <w:r w:rsidRPr="00524A62">
              <w:rPr>
                <w:rFonts w:ascii="Arial" w:eastAsia="Times New Roman" w:hAnsi="Arial" w:cs="Arial"/>
                <w:color w:val="000000"/>
                <w:sz w:val="20"/>
                <w:szCs w:val="20"/>
                <w:lang w:val="en-US"/>
              </w:rPr>
              <w:t> </w:t>
            </w:r>
          </w:p>
        </w:tc>
      </w:tr>
      <w:tr w:rsidR="00BD451A" w:rsidRPr="00524A62" w14:paraId="1C2E68AD"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4A8FFC36"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SI_14_MT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vAlign w:val="center"/>
            <w:hideMark/>
          </w:tcPr>
          <w:p w14:paraId="10CB724C"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CHP</w:t>
            </w:r>
            <w:r w:rsidRPr="00524A62">
              <w:rPr>
                <w:rFonts w:ascii="Arial" w:eastAsia="Times New Roman" w:hAnsi="Arial" w:cs="Arial"/>
                <w:color w:val="000000"/>
                <w:sz w:val="20"/>
                <w:szCs w:val="20"/>
                <w:lang w:val="en-US"/>
              </w:rPr>
              <w:t> </w:t>
            </w:r>
          </w:p>
        </w:tc>
        <w:tc>
          <w:tcPr>
            <w:tcW w:w="1515" w:type="dxa"/>
            <w:tcBorders>
              <w:top w:val="single" w:sz="6" w:space="0" w:color="auto"/>
              <w:left w:val="single" w:sz="6" w:space="0" w:color="auto"/>
              <w:bottom w:val="single" w:sz="6" w:space="0" w:color="auto"/>
              <w:right w:val="single" w:sz="6" w:space="0" w:color="auto"/>
            </w:tcBorders>
            <w:vAlign w:val="center"/>
            <w:hideMark/>
          </w:tcPr>
          <w:p w14:paraId="67EC7671"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10</w:t>
            </w:r>
            <w:r w:rsidRPr="00524A62">
              <w:rPr>
                <w:rFonts w:ascii="Arial" w:eastAsia="Times New Roman" w:hAnsi="Arial" w:cs="Arial"/>
                <w:color w:val="000000"/>
                <w:sz w:val="20"/>
                <w:szCs w:val="20"/>
                <w:lang w:val="en-US"/>
              </w:rPr>
              <w:t> </w:t>
            </w:r>
          </w:p>
        </w:tc>
        <w:tc>
          <w:tcPr>
            <w:tcW w:w="4455" w:type="dxa"/>
            <w:tcBorders>
              <w:top w:val="single" w:sz="6" w:space="0" w:color="auto"/>
              <w:left w:val="single" w:sz="6" w:space="0" w:color="auto"/>
              <w:bottom w:val="single" w:sz="6" w:space="0" w:color="auto"/>
              <w:right w:val="single" w:sz="6" w:space="0" w:color="auto"/>
            </w:tcBorders>
            <w:vAlign w:val="center"/>
            <w:hideMark/>
          </w:tcPr>
          <w:p w14:paraId="7588CD06"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9</w:t>
            </w:r>
            <w:r w:rsidRPr="00524A62">
              <w:rPr>
                <w:rFonts w:ascii="Arial" w:eastAsia="Times New Roman" w:hAnsi="Arial" w:cs="Arial"/>
                <w:color w:val="000000"/>
                <w:sz w:val="20"/>
                <w:szCs w:val="20"/>
                <w:lang w:val="en-US"/>
              </w:rPr>
              <w:t> </w:t>
            </w:r>
          </w:p>
        </w:tc>
      </w:tr>
      <w:tr w:rsidR="00BD451A" w:rsidRPr="00524A62" w14:paraId="511B7A80"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3B727450"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SI_14_MT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vAlign w:val="center"/>
            <w:hideMark/>
          </w:tcPr>
          <w:p w14:paraId="30E4F522"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Hydropower</w:t>
            </w:r>
            <w:r w:rsidRPr="00524A62">
              <w:rPr>
                <w:rFonts w:ascii="Arial" w:eastAsia="Times New Roman" w:hAnsi="Arial" w:cs="Arial"/>
                <w:color w:val="000000"/>
                <w:sz w:val="20"/>
                <w:szCs w:val="20"/>
                <w:lang w:val="en-US"/>
              </w:rPr>
              <w:t> </w:t>
            </w:r>
          </w:p>
        </w:tc>
        <w:tc>
          <w:tcPr>
            <w:tcW w:w="1515" w:type="dxa"/>
            <w:tcBorders>
              <w:top w:val="single" w:sz="6" w:space="0" w:color="auto"/>
              <w:left w:val="single" w:sz="6" w:space="0" w:color="auto"/>
              <w:bottom w:val="single" w:sz="6" w:space="0" w:color="auto"/>
              <w:right w:val="single" w:sz="6" w:space="0" w:color="auto"/>
            </w:tcBorders>
            <w:vAlign w:val="center"/>
            <w:hideMark/>
          </w:tcPr>
          <w:p w14:paraId="5A9CEB8C"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2350</w:t>
            </w:r>
            <w:r w:rsidRPr="00524A62">
              <w:rPr>
                <w:rFonts w:ascii="Arial" w:eastAsia="Times New Roman" w:hAnsi="Arial" w:cs="Arial"/>
                <w:color w:val="000000"/>
                <w:sz w:val="20"/>
                <w:szCs w:val="20"/>
                <w:lang w:val="en-US"/>
              </w:rPr>
              <w:t> </w:t>
            </w:r>
          </w:p>
        </w:tc>
        <w:tc>
          <w:tcPr>
            <w:tcW w:w="4455" w:type="dxa"/>
            <w:tcBorders>
              <w:top w:val="single" w:sz="6" w:space="0" w:color="auto"/>
              <w:left w:val="single" w:sz="6" w:space="0" w:color="auto"/>
              <w:bottom w:val="single" w:sz="6" w:space="0" w:color="auto"/>
              <w:right w:val="single" w:sz="6" w:space="0" w:color="auto"/>
            </w:tcBorders>
            <w:vAlign w:val="center"/>
            <w:hideMark/>
          </w:tcPr>
          <w:p w14:paraId="51053DAA"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shd w:val="clear" w:color="auto" w:fill="FFFF00"/>
                <w:lang w:val="en-US"/>
              </w:rPr>
              <w:t>2342</w:t>
            </w:r>
            <w:r w:rsidRPr="00524A62">
              <w:rPr>
                <w:rFonts w:ascii="Arial" w:eastAsia="Times New Roman" w:hAnsi="Arial" w:cs="Arial"/>
                <w:color w:val="000000"/>
                <w:sz w:val="20"/>
                <w:szCs w:val="20"/>
                <w:lang w:val="en-US"/>
              </w:rPr>
              <w:t> </w:t>
            </w:r>
          </w:p>
        </w:tc>
      </w:tr>
      <w:tr w:rsidR="00BD451A" w:rsidRPr="00524A62" w14:paraId="411D5945"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26374EE0"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SI_14_MT </w:t>
            </w:r>
          </w:p>
        </w:tc>
        <w:tc>
          <w:tcPr>
            <w:tcW w:w="1800" w:type="dxa"/>
            <w:tcBorders>
              <w:top w:val="single" w:sz="6" w:space="0" w:color="auto"/>
              <w:left w:val="single" w:sz="6" w:space="0" w:color="auto"/>
              <w:bottom w:val="single" w:sz="6" w:space="0" w:color="auto"/>
              <w:right w:val="single" w:sz="6" w:space="0" w:color="auto"/>
            </w:tcBorders>
            <w:vAlign w:val="center"/>
            <w:hideMark/>
          </w:tcPr>
          <w:p w14:paraId="32D9C111"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lang w:val="en-US"/>
              </w:rPr>
              <w:t>Onshore wind </w:t>
            </w:r>
          </w:p>
        </w:tc>
        <w:tc>
          <w:tcPr>
            <w:tcW w:w="1515" w:type="dxa"/>
            <w:tcBorders>
              <w:top w:val="single" w:sz="6" w:space="0" w:color="auto"/>
              <w:left w:val="single" w:sz="6" w:space="0" w:color="auto"/>
              <w:bottom w:val="single" w:sz="6" w:space="0" w:color="auto"/>
              <w:right w:val="single" w:sz="6" w:space="0" w:color="auto"/>
            </w:tcBorders>
            <w:vAlign w:val="center"/>
            <w:hideMark/>
          </w:tcPr>
          <w:p w14:paraId="66D06CE9"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lang w:val="en-US"/>
              </w:rPr>
              <w:t>6 </w:t>
            </w:r>
          </w:p>
        </w:tc>
        <w:tc>
          <w:tcPr>
            <w:tcW w:w="4455" w:type="dxa"/>
            <w:tcBorders>
              <w:top w:val="single" w:sz="6" w:space="0" w:color="auto"/>
              <w:left w:val="single" w:sz="6" w:space="0" w:color="auto"/>
              <w:bottom w:val="single" w:sz="6" w:space="0" w:color="auto"/>
              <w:right w:val="single" w:sz="6" w:space="0" w:color="auto"/>
            </w:tcBorders>
            <w:vAlign w:val="center"/>
            <w:hideMark/>
          </w:tcPr>
          <w:p w14:paraId="64EF0846"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Arial" w:eastAsia="Times New Roman" w:hAnsi="Arial" w:cs="Arial"/>
                <w:color w:val="000000"/>
                <w:sz w:val="20"/>
                <w:szCs w:val="20"/>
                <w:lang w:val="en-US"/>
              </w:rPr>
              <w:t>6 </w:t>
            </w:r>
          </w:p>
        </w:tc>
      </w:tr>
    </w:tbl>
    <w:p w14:paraId="1DF67EDD" w14:textId="77777777" w:rsidR="00BD451A" w:rsidRPr="00524A62" w:rsidRDefault="00BD451A" w:rsidP="00BD451A">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 </w:t>
      </w:r>
    </w:p>
    <w:p w14:paraId="146DB31D" w14:textId="77777777" w:rsidR="00BD451A" w:rsidRPr="00524A62" w:rsidRDefault="00BD451A" w:rsidP="00BD451A">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 xml:space="preserve">Here, some sub-totals were incorrect as were the totals. Data are gathered from: </w:t>
      </w:r>
      <w:hyperlink r:id="rId19" w:tgtFrame="_blank" w:history="1">
        <w:r w:rsidRPr="00524A62">
          <w:rPr>
            <w:rFonts w:ascii="Calibri" w:eastAsia="Times New Roman" w:hAnsi="Calibri" w:cs="Calibri"/>
            <w:color w:val="0563C1"/>
            <w:u w:val="single"/>
            <w:lang w:val="en-US"/>
          </w:rPr>
          <w:t>https://www.agen-rs.si/documents/10926/159489/Dec2018_seznam_izbranih/817265b6-a984-43f6-b924-d3188ec79bc3</w:t>
        </w:r>
      </w:hyperlink>
      <w:r w:rsidRPr="00524A62">
        <w:rPr>
          <w:rFonts w:ascii="Calibri" w:eastAsia="Times New Roman" w:hAnsi="Calibri" w:cs="Calibri"/>
          <w:lang w:val="en-US"/>
        </w:rPr>
        <w:t>  </w:t>
      </w:r>
    </w:p>
    <w:p w14:paraId="4F7D164F" w14:textId="77777777" w:rsidR="00BD451A" w:rsidRPr="00524A62" w:rsidRDefault="00BD451A" w:rsidP="00BD451A">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40"/>
        <w:gridCol w:w="1732"/>
        <w:gridCol w:w="1470"/>
        <w:gridCol w:w="4214"/>
      </w:tblGrid>
      <w:tr w:rsidR="00BD451A" w:rsidRPr="00524A62" w14:paraId="6EBA42BD"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0CCDA613"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b/>
                <w:bCs/>
                <w:lang w:val="en-US"/>
              </w:rPr>
              <w:t>AURESII_id</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4868E46B"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b/>
                <w:bCs/>
                <w:lang w:val="en-US"/>
              </w:rPr>
              <w:t>Tech type</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hideMark/>
          </w:tcPr>
          <w:p w14:paraId="7B0FBB94"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b/>
                <w:bCs/>
                <w:lang w:val="en-US"/>
              </w:rPr>
              <w:t>Amount</w:t>
            </w:r>
            <w:r w:rsidRPr="00524A62">
              <w:rPr>
                <w:rFonts w:ascii="Calibri" w:eastAsia="Times New Roman" w:hAnsi="Calibri" w:cs="Calibri"/>
                <w:lang w:val="en-US"/>
              </w:rPr>
              <w:t> </w:t>
            </w:r>
          </w:p>
        </w:tc>
        <w:tc>
          <w:tcPr>
            <w:tcW w:w="4455" w:type="dxa"/>
            <w:tcBorders>
              <w:top w:val="single" w:sz="6" w:space="0" w:color="auto"/>
              <w:left w:val="single" w:sz="6" w:space="0" w:color="auto"/>
              <w:bottom w:val="single" w:sz="6" w:space="0" w:color="auto"/>
              <w:right w:val="single" w:sz="6" w:space="0" w:color="auto"/>
            </w:tcBorders>
            <w:hideMark/>
          </w:tcPr>
          <w:p w14:paraId="259C0D63"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b/>
                <w:bCs/>
                <w:lang w:val="en-US"/>
              </w:rPr>
              <w:t>Govt data</w:t>
            </w:r>
            <w:r w:rsidRPr="00524A62">
              <w:rPr>
                <w:rFonts w:ascii="Calibri" w:eastAsia="Times New Roman" w:hAnsi="Calibri" w:cs="Calibri"/>
                <w:lang w:val="en-US"/>
              </w:rPr>
              <w:t> </w:t>
            </w:r>
          </w:p>
        </w:tc>
      </w:tr>
      <w:tr w:rsidR="00BD451A" w:rsidRPr="00524A62" w14:paraId="18DC898B"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7A9F3A34"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ES_4_MT </w:t>
            </w:r>
          </w:p>
        </w:tc>
        <w:tc>
          <w:tcPr>
            <w:tcW w:w="1800" w:type="dxa"/>
            <w:tcBorders>
              <w:top w:val="single" w:sz="6" w:space="0" w:color="auto"/>
              <w:left w:val="single" w:sz="6" w:space="0" w:color="auto"/>
              <w:bottom w:val="single" w:sz="6" w:space="0" w:color="auto"/>
              <w:right w:val="single" w:sz="6" w:space="0" w:color="auto"/>
            </w:tcBorders>
            <w:hideMark/>
          </w:tcPr>
          <w:p w14:paraId="4988CC4F"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Total </w:t>
            </w:r>
          </w:p>
        </w:tc>
        <w:tc>
          <w:tcPr>
            <w:tcW w:w="1515" w:type="dxa"/>
            <w:tcBorders>
              <w:top w:val="single" w:sz="6" w:space="0" w:color="auto"/>
              <w:left w:val="single" w:sz="6" w:space="0" w:color="auto"/>
              <w:bottom w:val="single" w:sz="6" w:space="0" w:color="auto"/>
              <w:right w:val="single" w:sz="6" w:space="0" w:color="auto"/>
            </w:tcBorders>
            <w:hideMark/>
          </w:tcPr>
          <w:p w14:paraId="2012D070"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5036921 </w:t>
            </w:r>
          </w:p>
        </w:tc>
        <w:tc>
          <w:tcPr>
            <w:tcW w:w="4455" w:type="dxa"/>
            <w:tcBorders>
              <w:top w:val="single" w:sz="6" w:space="0" w:color="auto"/>
              <w:left w:val="single" w:sz="6" w:space="0" w:color="auto"/>
              <w:bottom w:val="single" w:sz="6" w:space="0" w:color="auto"/>
              <w:right w:val="single" w:sz="6" w:space="0" w:color="auto"/>
            </w:tcBorders>
            <w:hideMark/>
          </w:tcPr>
          <w:p w14:paraId="0CD31515"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5036921 </w:t>
            </w:r>
          </w:p>
        </w:tc>
      </w:tr>
      <w:tr w:rsidR="00BD451A" w:rsidRPr="00524A62" w14:paraId="66CE6A78"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5F9554D6"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ES_4_MT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7EE4908C"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PV</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hideMark/>
          </w:tcPr>
          <w:p w14:paraId="218A3FE6"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3909000</w:t>
            </w:r>
            <w:r w:rsidRPr="00524A62">
              <w:rPr>
                <w:rFonts w:ascii="Calibri" w:eastAsia="Times New Roman" w:hAnsi="Calibri" w:cs="Calibri"/>
                <w:lang w:val="en-US"/>
              </w:rPr>
              <w:t> </w:t>
            </w:r>
          </w:p>
        </w:tc>
        <w:tc>
          <w:tcPr>
            <w:tcW w:w="4455" w:type="dxa"/>
            <w:tcBorders>
              <w:top w:val="single" w:sz="6" w:space="0" w:color="auto"/>
              <w:left w:val="single" w:sz="6" w:space="0" w:color="auto"/>
              <w:bottom w:val="single" w:sz="6" w:space="0" w:color="auto"/>
              <w:right w:val="single" w:sz="6" w:space="0" w:color="auto"/>
            </w:tcBorders>
            <w:hideMark/>
          </w:tcPr>
          <w:p w14:paraId="4FC229E7"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3909103</w:t>
            </w:r>
            <w:r w:rsidRPr="00524A62">
              <w:rPr>
                <w:rFonts w:ascii="Calibri" w:eastAsia="Times New Roman" w:hAnsi="Calibri" w:cs="Calibri"/>
                <w:lang w:val="en-US"/>
              </w:rPr>
              <w:t> </w:t>
            </w:r>
          </w:p>
        </w:tc>
      </w:tr>
      <w:tr w:rsidR="00BD451A" w:rsidRPr="00524A62" w14:paraId="257C20A3" w14:textId="77777777" w:rsidTr="00BD451A">
        <w:trPr>
          <w:trHeight w:val="300"/>
        </w:trPr>
        <w:tc>
          <w:tcPr>
            <w:tcW w:w="1680" w:type="dxa"/>
            <w:tcBorders>
              <w:top w:val="single" w:sz="6" w:space="0" w:color="auto"/>
              <w:left w:val="single" w:sz="6" w:space="0" w:color="auto"/>
              <w:bottom w:val="single" w:sz="6" w:space="0" w:color="auto"/>
              <w:right w:val="single" w:sz="6" w:space="0" w:color="auto"/>
            </w:tcBorders>
            <w:hideMark/>
          </w:tcPr>
          <w:p w14:paraId="17D7587C"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ES_4_MT</w:t>
            </w:r>
            <w:r w:rsidRPr="00524A62">
              <w:rPr>
                <w:rFonts w:ascii="Calibri" w:eastAsia="Times New Roman" w:hAnsi="Calibri" w:cs="Calibri"/>
                <w:lang w:val="en-US"/>
              </w:rPr>
              <w:t> </w:t>
            </w:r>
          </w:p>
        </w:tc>
        <w:tc>
          <w:tcPr>
            <w:tcW w:w="1800" w:type="dxa"/>
            <w:tcBorders>
              <w:top w:val="single" w:sz="6" w:space="0" w:color="auto"/>
              <w:left w:val="single" w:sz="6" w:space="0" w:color="auto"/>
              <w:bottom w:val="single" w:sz="6" w:space="0" w:color="auto"/>
              <w:right w:val="single" w:sz="6" w:space="0" w:color="auto"/>
            </w:tcBorders>
            <w:hideMark/>
          </w:tcPr>
          <w:p w14:paraId="3B6A4D30"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Onshore wind</w:t>
            </w:r>
            <w:r w:rsidRPr="00524A62">
              <w:rPr>
                <w:rFonts w:ascii="Calibri" w:eastAsia="Times New Roman" w:hAnsi="Calibri" w:cs="Calibri"/>
                <w:lang w:val="en-US"/>
              </w:rPr>
              <w:t> </w:t>
            </w:r>
          </w:p>
        </w:tc>
        <w:tc>
          <w:tcPr>
            <w:tcW w:w="1515" w:type="dxa"/>
            <w:tcBorders>
              <w:top w:val="single" w:sz="6" w:space="0" w:color="auto"/>
              <w:left w:val="single" w:sz="6" w:space="0" w:color="auto"/>
              <w:bottom w:val="single" w:sz="6" w:space="0" w:color="auto"/>
              <w:right w:val="single" w:sz="6" w:space="0" w:color="auto"/>
            </w:tcBorders>
            <w:hideMark/>
          </w:tcPr>
          <w:p w14:paraId="781FF07E"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1128000</w:t>
            </w:r>
            <w:r w:rsidRPr="00524A62">
              <w:rPr>
                <w:rFonts w:ascii="Calibri" w:eastAsia="Times New Roman" w:hAnsi="Calibri" w:cs="Calibri"/>
                <w:lang w:val="en-US"/>
              </w:rPr>
              <w:t> </w:t>
            </w:r>
          </w:p>
        </w:tc>
        <w:tc>
          <w:tcPr>
            <w:tcW w:w="4455" w:type="dxa"/>
            <w:tcBorders>
              <w:top w:val="single" w:sz="6" w:space="0" w:color="auto"/>
              <w:left w:val="single" w:sz="6" w:space="0" w:color="auto"/>
              <w:bottom w:val="single" w:sz="6" w:space="0" w:color="auto"/>
              <w:right w:val="single" w:sz="6" w:space="0" w:color="auto"/>
            </w:tcBorders>
            <w:hideMark/>
          </w:tcPr>
          <w:p w14:paraId="7C5A0B9A"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shd w:val="clear" w:color="auto" w:fill="FFFF00"/>
                <w:lang w:val="en-US"/>
              </w:rPr>
              <w:t>1127818</w:t>
            </w:r>
            <w:r w:rsidRPr="00524A62">
              <w:rPr>
                <w:rFonts w:ascii="Calibri" w:eastAsia="Times New Roman" w:hAnsi="Calibri" w:cs="Calibri"/>
                <w:lang w:val="en-US"/>
              </w:rPr>
              <w:t> </w:t>
            </w:r>
          </w:p>
        </w:tc>
      </w:tr>
    </w:tbl>
    <w:p w14:paraId="25FCD346" w14:textId="77777777" w:rsidR="00BD451A" w:rsidRPr="00524A62" w:rsidRDefault="00BD451A" w:rsidP="00BD451A">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 </w:t>
      </w:r>
    </w:p>
    <w:p w14:paraId="6F41F7E6" w14:textId="77777777" w:rsidR="00BD451A" w:rsidRPr="00524A62" w:rsidRDefault="00BD451A" w:rsidP="00BD451A">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 xml:space="preserve">Here, totals were correct but the sub-totals were not. Data are gathered from: </w:t>
      </w:r>
      <w:hyperlink r:id="rId20" w:tgtFrame="_blank" w:history="1">
        <w:r w:rsidRPr="00524A62">
          <w:rPr>
            <w:rFonts w:ascii="Calibri" w:eastAsia="Times New Roman" w:hAnsi="Calibri" w:cs="Calibri"/>
            <w:color w:val="0563C1"/>
            <w:u w:val="single"/>
            <w:lang w:val="en-US"/>
          </w:rPr>
          <w:t>https://www.boe.es/diario_boe/txt.php?id=BOE-A-2017-8997</w:t>
        </w:r>
      </w:hyperlink>
      <w:r w:rsidRPr="00524A62">
        <w:rPr>
          <w:rFonts w:ascii="Calibri" w:eastAsia="Times New Roman" w:hAnsi="Calibri" w:cs="Calibri"/>
          <w:lang w:val="en-US"/>
        </w:rPr>
        <w:t>  </w:t>
      </w:r>
    </w:p>
    <w:p w14:paraId="50D019BB" w14:textId="77777777" w:rsidR="00BD451A" w:rsidRPr="00524A62" w:rsidRDefault="00BD451A" w:rsidP="00BD451A">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 </w:t>
      </w:r>
    </w:p>
    <w:p w14:paraId="5A77F96B" w14:textId="7EFD1E21" w:rsidR="00BD451A" w:rsidRPr="00524A62" w:rsidRDefault="00BD451A" w:rsidP="00BD451A">
      <w:pPr>
        <w:spacing w:after="0" w:line="240" w:lineRule="auto"/>
        <w:textAlignment w:val="baseline"/>
        <w:rPr>
          <w:rFonts w:ascii="Segoe UI" w:eastAsia="Times New Roman" w:hAnsi="Segoe UI" w:cs="Segoe UI"/>
          <w:sz w:val="18"/>
          <w:szCs w:val="18"/>
          <w:lang w:val="en-US"/>
        </w:rPr>
      </w:pPr>
    </w:p>
    <w:p w14:paraId="47A85995" w14:textId="4B1D626E" w:rsidR="00BD451A" w:rsidRPr="00524A62" w:rsidRDefault="005C5BC5" w:rsidP="00BD451A">
      <w:pPr>
        <w:spacing w:after="0" w:line="240" w:lineRule="auto"/>
        <w:textAlignment w:val="baseline"/>
        <w:rPr>
          <w:rFonts w:ascii="Calibri" w:eastAsia="Times New Roman" w:hAnsi="Calibri" w:cs="Calibri"/>
          <w:b/>
          <w:bCs/>
          <w:lang w:val="en-US"/>
        </w:rPr>
      </w:pPr>
      <w:r w:rsidRPr="00524A62">
        <w:rPr>
          <w:rFonts w:ascii="Calibri" w:eastAsia="Times New Roman" w:hAnsi="Calibri" w:cs="Calibri"/>
          <w:b/>
          <w:bCs/>
          <w:lang w:val="en-US"/>
        </w:rPr>
        <w:t>Step 2: We perform the following operations in R:</w:t>
      </w:r>
    </w:p>
    <w:p w14:paraId="4155FB90" w14:textId="77777777" w:rsidR="005C5BC5" w:rsidRPr="00524A62" w:rsidRDefault="005C5BC5" w:rsidP="00BD451A">
      <w:pPr>
        <w:spacing w:after="0" w:line="240" w:lineRule="auto"/>
        <w:textAlignment w:val="baseline"/>
        <w:rPr>
          <w:rFonts w:ascii="Segoe UI" w:eastAsia="Times New Roman" w:hAnsi="Segoe UI" w:cs="Segoe UI"/>
          <w:sz w:val="18"/>
          <w:szCs w:val="18"/>
          <w:lang w:val="en-US"/>
        </w:rPr>
      </w:pPr>
    </w:p>
    <w:p w14:paraId="20818F8F" w14:textId="64CB0ABE" w:rsidR="00BD451A" w:rsidRPr="00524A62" w:rsidRDefault="00BD451A" w:rsidP="00BD451A">
      <w:pPr>
        <w:numPr>
          <w:ilvl w:val="0"/>
          <w:numId w:val="13"/>
        </w:numPr>
        <w:spacing w:after="0" w:line="240" w:lineRule="auto"/>
        <w:ind w:left="1080" w:firstLine="0"/>
        <w:textAlignment w:val="baseline"/>
        <w:rPr>
          <w:rFonts w:ascii="Calibri" w:eastAsia="Times New Roman" w:hAnsi="Calibri" w:cs="Calibri"/>
          <w:lang w:val="en-US"/>
        </w:rPr>
      </w:pPr>
      <w:r w:rsidRPr="00524A62">
        <w:rPr>
          <w:rFonts w:ascii="Calibri" w:eastAsia="Times New Roman" w:hAnsi="Calibri" w:cs="Calibri"/>
          <w:lang w:val="en-US"/>
        </w:rPr>
        <w:t>The observations (</w:t>
      </w:r>
      <w:r w:rsidR="000D3DA5" w:rsidRPr="00524A62">
        <w:rPr>
          <w:rFonts w:ascii="Calibri" w:eastAsia="Times New Roman" w:hAnsi="Calibri" w:cs="Calibri"/>
          <w:lang w:val="en-US"/>
        </w:rPr>
        <w:t>“</w:t>
      </w:r>
      <w:r w:rsidRPr="00524A62">
        <w:rPr>
          <w:rFonts w:ascii="Calibri" w:eastAsia="Times New Roman" w:hAnsi="Calibri" w:cs="Calibri"/>
          <w:lang w:val="en-US"/>
        </w:rPr>
        <w:t>FR_82_MT</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PL_12_MT</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PL_15_MT</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PL_25_MT</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PL_28_MT</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PL_3_MT</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PL_5_MT</w:t>
      </w:r>
      <w:r w:rsidR="000D3DA5" w:rsidRPr="00524A62">
        <w:rPr>
          <w:rFonts w:ascii="Calibri" w:eastAsia="Times New Roman" w:hAnsi="Calibri" w:cs="Calibri"/>
          <w:lang w:val="en-US"/>
        </w:rPr>
        <w:t>”</w:t>
      </w:r>
      <w:r w:rsidRPr="00524A62">
        <w:rPr>
          <w:rFonts w:ascii="Calibri" w:eastAsia="Times New Roman" w:hAnsi="Calibri" w:cs="Calibri"/>
          <w:lang w:val="en-US"/>
        </w:rPr>
        <w:t>) where “other” is missing resulting in “total” not being equal to other technology subtypes are deleted. Then the “total” in technology_type is renamed to “all renewables”.  </w:t>
      </w:r>
    </w:p>
    <w:p w14:paraId="256D200A" w14:textId="4CE3744F" w:rsidR="00BD451A" w:rsidRPr="00524A62" w:rsidRDefault="00BD451A" w:rsidP="00BD451A">
      <w:pPr>
        <w:numPr>
          <w:ilvl w:val="0"/>
          <w:numId w:val="14"/>
        </w:numPr>
        <w:spacing w:after="0" w:line="240" w:lineRule="auto"/>
        <w:ind w:left="1080" w:firstLine="0"/>
        <w:textAlignment w:val="baseline"/>
        <w:rPr>
          <w:rFonts w:ascii="Calibri" w:eastAsia="Times New Roman" w:hAnsi="Calibri" w:cs="Calibri"/>
          <w:lang w:val="en-US"/>
        </w:rPr>
      </w:pPr>
      <w:r w:rsidRPr="00524A62">
        <w:rPr>
          <w:rFonts w:ascii="Calibri" w:eastAsia="Times New Roman" w:hAnsi="Calibri" w:cs="Calibri"/>
          <w:lang w:val="en-US"/>
        </w:rPr>
        <w:t>Then, the data is collapsed for unique values of AURESII_id, country, year,</w:t>
      </w:r>
      <w:r w:rsidR="001D04BF">
        <w:rPr>
          <w:rFonts w:ascii="Calibri" w:eastAsia="Times New Roman" w:hAnsi="Calibri" w:cs="Calibri"/>
          <w:lang w:val="en-US"/>
        </w:rPr>
        <w:t xml:space="preserve"> </w:t>
      </w:r>
      <w:r w:rsidRPr="00524A62">
        <w:rPr>
          <w:rFonts w:ascii="Calibri" w:eastAsia="Times New Roman" w:hAnsi="Calibri" w:cs="Calibri"/>
          <w:lang w:val="en-US"/>
        </w:rPr>
        <w:t>technology_type and type of auction product (budget vs capacity vs electricity). Numeric variables of interest are converted in the following manner- </w:t>
      </w:r>
    </w:p>
    <w:tbl>
      <w:tblPr>
        <w:tblW w:w="8325"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60"/>
        <w:gridCol w:w="4065"/>
      </w:tblGrid>
      <w:tr w:rsidR="00BD451A" w:rsidRPr="00524A62" w14:paraId="3A4F5929" w14:textId="77777777" w:rsidTr="00804D99">
        <w:trPr>
          <w:trHeight w:val="300"/>
        </w:trPr>
        <w:tc>
          <w:tcPr>
            <w:tcW w:w="4260" w:type="dxa"/>
            <w:tcBorders>
              <w:top w:val="single" w:sz="6" w:space="0" w:color="auto"/>
              <w:left w:val="single" w:sz="6" w:space="0" w:color="auto"/>
              <w:bottom w:val="single" w:sz="6" w:space="0" w:color="auto"/>
              <w:right w:val="single" w:sz="6" w:space="0" w:color="auto"/>
            </w:tcBorders>
            <w:hideMark/>
          </w:tcPr>
          <w:p w14:paraId="6672F739"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Column Name </w:t>
            </w:r>
          </w:p>
        </w:tc>
        <w:tc>
          <w:tcPr>
            <w:tcW w:w="4065" w:type="dxa"/>
            <w:tcBorders>
              <w:top w:val="single" w:sz="6" w:space="0" w:color="auto"/>
              <w:left w:val="single" w:sz="6" w:space="0" w:color="auto"/>
              <w:bottom w:val="single" w:sz="6" w:space="0" w:color="auto"/>
              <w:right w:val="single" w:sz="6" w:space="0" w:color="auto"/>
            </w:tcBorders>
            <w:hideMark/>
          </w:tcPr>
          <w:p w14:paraId="63832C82"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Operation after collapsing </w:t>
            </w:r>
          </w:p>
        </w:tc>
      </w:tr>
      <w:tr w:rsidR="00BD451A" w:rsidRPr="00524A62" w14:paraId="7243EED4" w14:textId="77777777" w:rsidTr="00804D99">
        <w:trPr>
          <w:trHeight w:val="300"/>
        </w:trPr>
        <w:tc>
          <w:tcPr>
            <w:tcW w:w="4260" w:type="dxa"/>
            <w:tcBorders>
              <w:top w:val="single" w:sz="6" w:space="0" w:color="auto"/>
              <w:left w:val="single" w:sz="6" w:space="0" w:color="auto"/>
              <w:bottom w:val="single" w:sz="6" w:space="0" w:color="auto"/>
              <w:right w:val="single" w:sz="6" w:space="0" w:color="auto"/>
            </w:tcBorders>
            <w:hideMark/>
          </w:tcPr>
          <w:p w14:paraId="111C3CE2" w14:textId="789D889B" w:rsidR="00BD451A" w:rsidRPr="00524A62" w:rsidRDefault="00A21A6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condition_</w:t>
            </w:r>
            <w:r w:rsidR="00BD451A" w:rsidRPr="00524A62">
              <w:rPr>
                <w:rFonts w:ascii="Calibri" w:eastAsia="Times New Roman" w:hAnsi="Calibri" w:cs="Calibri"/>
                <w:lang w:val="en-US"/>
              </w:rPr>
              <w:t>minimum </w:t>
            </w:r>
          </w:p>
        </w:tc>
        <w:tc>
          <w:tcPr>
            <w:tcW w:w="4065" w:type="dxa"/>
            <w:tcBorders>
              <w:top w:val="single" w:sz="6" w:space="0" w:color="auto"/>
              <w:left w:val="single" w:sz="6" w:space="0" w:color="auto"/>
              <w:bottom w:val="single" w:sz="6" w:space="0" w:color="auto"/>
              <w:right w:val="single" w:sz="6" w:space="0" w:color="auto"/>
            </w:tcBorders>
            <w:hideMark/>
          </w:tcPr>
          <w:p w14:paraId="03586C6B"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Minimum </w:t>
            </w:r>
          </w:p>
        </w:tc>
      </w:tr>
      <w:tr w:rsidR="00BD451A" w:rsidRPr="00524A62" w14:paraId="6608B375" w14:textId="77777777" w:rsidTr="00804D99">
        <w:trPr>
          <w:trHeight w:val="300"/>
        </w:trPr>
        <w:tc>
          <w:tcPr>
            <w:tcW w:w="4260" w:type="dxa"/>
            <w:tcBorders>
              <w:top w:val="single" w:sz="6" w:space="0" w:color="auto"/>
              <w:left w:val="single" w:sz="6" w:space="0" w:color="auto"/>
              <w:bottom w:val="single" w:sz="6" w:space="0" w:color="auto"/>
              <w:right w:val="single" w:sz="6" w:space="0" w:color="auto"/>
            </w:tcBorders>
            <w:hideMark/>
          </w:tcPr>
          <w:p w14:paraId="332E306E" w14:textId="51C69B36" w:rsidR="00BD451A" w:rsidRPr="00524A62" w:rsidRDefault="00A21A6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lastRenderedPageBreak/>
              <w:t>condition_</w:t>
            </w:r>
            <w:r w:rsidR="00BD451A" w:rsidRPr="00524A62">
              <w:rPr>
                <w:rFonts w:ascii="Calibri" w:eastAsia="Times New Roman" w:hAnsi="Calibri" w:cs="Calibri"/>
                <w:lang w:val="en-US"/>
              </w:rPr>
              <w:t>maximum </w:t>
            </w:r>
          </w:p>
        </w:tc>
        <w:tc>
          <w:tcPr>
            <w:tcW w:w="4065" w:type="dxa"/>
            <w:tcBorders>
              <w:top w:val="single" w:sz="6" w:space="0" w:color="auto"/>
              <w:left w:val="single" w:sz="6" w:space="0" w:color="auto"/>
              <w:bottom w:val="single" w:sz="6" w:space="0" w:color="auto"/>
              <w:right w:val="single" w:sz="6" w:space="0" w:color="auto"/>
            </w:tcBorders>
            <w:hideMark/>
          </w:tcPr>
          <w:p w14:paraId="0E04B7B8"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Maximum </w:t>
            </w:r>
          </w:p>
        </w:tc>
      </w:tr>
      <w:tr w:rsidR="00BD451A" w:rsidRPr="00524A62" w14:paraId="77D11CB0" w14:textId="77777777" w:rsidTr="00804D99">
        <w:trPr>
          <w:trHeight w:val="300"/>
        </w:trPr>
        <w:tc>
          <w:tcPr>
            <w:tcW w:w="4260" w:type="dxa"/>
            <w:tcBorders>
              <w:top w:val="single" w:sz="6" w:space="0" w:color="auto"/>
              <w:left w:val="single" w:sz="6" w:space="0" w:color="auto"/>
              <w:bottom w:val="single" w:sz="6" w:space="0" w:color="auto"/>
              <w:right w:val="single" w:sz="6" w:space="0" w:color="auto"/>
            </w:tcBorders>
            <w:hideMark/>
          </w:tcPr>
          <w:p w14:paraId="76D97062"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cap </w:t>
            </w:r>
          </w:p>
        </w:tc>
        <w:tc>
          <w:tcPr>
            <w:tcW w:w="4065" w:type="dxa"/>
            <w:tcBorders>
              <w:top w:val="single" w:sz="6" w:space="0" w:color="auto"/>
              <w:left w:val="single" w:sz="6" w:space="0" w:color="auto"/>
              <w:bottom w:val="single" w:sz="6" w:space="0" w:color="auto"/>
              <w:right w:val="single" w:sz="6" w:space="0" w:color="auto"/>
            </w:tcBorders>
            <w:hideMark/>
          </w:tcPr>
          <w:p w14:paraId="0EB95A7D"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Mean </w:t>
            </w:r>
          </w:p>
        </w:tc>
      </w:tr>
      <w:tr w:rsidR="00BD451A" w:rsidRPr="00524A62" w14:paraId="15616C6C" w14:textId="77777777" w:rsidTr="00804D99">
        <w:trPr>
          <w:trHeight w:val="300"/>
        </w:trPr>
        <w:tc>
          <w:tcPr>
            <w:tcW w:w="4260" w:type="dxa"/>
            <w:tcBorders>
              <w:top w:val="single" w:sz="6" w:space="0" w:color="auto"/>
              <w:left w:val="single" w:sz="6" w:space="0" w:color="auto"/>
              <w:bottom w:val="single" w:sz="6" w:space="0" w:color="auto"/>
              <w:right w:val="single" w:sz="6" w:space="0" w:color="auto"/>
            </w:tcBorders>
            <w:hideMark/>
          </w:tcPr>
          <w:p w14:paraId="2C467D61"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support_outcome </w:t>
            </w:r>
          </w:p>
        </w:tc>
        <w:tc>
          <w:tcPr>
            <w:tcW w:w="4065" w:type="dxa"/>
            <w:tcBorders>
              <w:top w:val="single" w:sz="6" w:space="0" w:color="auto"/>
              <w:left w:val="single" w:sz="6" w:space="0" w:color="auto"/>
              <w:bottom w:val="single" w:sz="6" w:space="0" w:color="auto"/>
              <w:right w:val="single" w:sz="6" w:space="0" w:color="auto"/>
            </w:tcBorders>
            <w:hideMark/>
          </w:tcPr>
          <w:p w14:paraId="2744CC61"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Mean </w:t>
            </w:r>
          </w:p>
        </w:tc>
      </w:tr>
      <w:tr w:rsidR="00BD451A" w:rsidRPr="00524A62" w14:paraId="649E5480" w14:textId="77777777" w:rsidTr="00804D99">
        <w:trPr>
          <w:trHeight w:val="300"/>
        </w:trPr>
        <w:tc>
          <w:tcPr>
            <w:tcW w:w="4260" w:type="dxa"/>
            <w:tcBorders>
              <w:top w:val="single" w:sz="6" w:space="0" w:color="auto"/>
              <w:left w:val="single" w:sz="6" w:space="0" w:color="auto"/>
              <w:bottom w:val="single" w:sz="6" w:space="0" w:color="auto"/>
              <w:right w:val="single" w:sz="6" w:space="0" w:color="auto"/>
            </w:tcBorders>
            <w:hideMark/>
          </w:tcPr>
          <w:p w14:paraId="55893423"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amount_tendered </w:t>
            </w:r>
          </w:p>
        </w:tc>
        <w:tc>
          <w:tcPr>
            <w:tcW w:w="4065" w:type="dxa"/>
            <w:tcBorders>
              <w:top w:val="single" w:sz="6" w:space="0" w:color="auto"/>
              <w:left w:val="single" w:sz="6" w:space="0" w:color="auto"/>
              <w:bottom w:val="single" w:sz="6" w:space="0" w:color="auto"/>
              <w:right w:val="single" w:sz="6" w:space="0" w:color="auto"/>
            </w:tcBorders>
            <w:hideMark/>
          </w:tcPr>
          <w:p w14:paraId="0BA218CE"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Max </w:t>
            </w:r>
          </w:p>
        </w:tc>
      </w:tr>
      <w:tr w:rsidR="00BD451A" w:rsidRPr="00524A62" w14:paraId="37CDCABD" w14:textId="77777777" w:rsidTr="00804D99">
        <w:trPr>
          <w:trHeight w:val="300"/>
        </w:trPr>
        <w:tc>
          <w:tcPr>
            <w:tcW w:w="4260" w:type="dxa"/>
            <w:tcBorders>
              <w:top w:val="single" w:sz="6" w:space="0" w:color="auto"/>
              <w:left w:val="single" w:sz="6" w:space="0" w:color="auto"/>
              <w:bottom w:val="single" w:sz="6" w:space="0" w:color="auto"/>
              <w:right w:val="single" w:sz="6" w:space="0" w:color="auto"/>
            </w:tcBorders>
            <w:hideMark/>
          </w:tcPr>
          <w:p w14:paraId="291C9F26"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amount_contracted </w:t>
            </w:r>
          </w:p>
        </w:tc>
        <w:tc>
          <w:tcPr>
            <w:tcW w:w="4065" w:type="dxa"/>
            <w:tcBorders>
              <w:top w:val="single" w:sz="6" w:space="0" w:color="auto"/>
              <w:left w:val="single" w:sz="6" w:space="0" w:color="auto"/>
              <w:bottom w:val="single" w:sz="6" w:space="0" w:color="auto"/>
              <w:right w:val="single" w:sz="6" w:space="0" w:color="auto"/>
            </w:tcBorders>
            <w:hideMark/>
          </w:tcPr>
          <w:p w14:paraId="4A1236D1"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Sum </w:t>
            </w:r>
          </w:p>
        </w:tc>
      </w:tr>
      <w:tr w:rsidR="00BD451A" w:rsidRPr="00524A62" w14:paraId="5A3F5F36" w14:textId="77777777" w:rsidTr="00804D99">
        <w:trPr>
          <w:trHeight w:val="300"/>
        </w:trPr>
        <w:tc>
          <w:tcPr>
            <w:tcW w:w="4260" w:type="dxa"/>
            <w:tcBorders>
              <w:top w:val="single" w:sz="6" w:space="0" w:color="auto"/>
              <w:left w:val="single" w:sz="6" w:space="0" w:color="auto"/>
              <w:bottom w:val="single" w:sz="6" w:space="0" w:color="auto"/>
              <w:right w:val="single" w:sz="6" w:space="0" w:color="auto"/>
            </w:tcBorders>
            <w:hideMark/>
          </w:tcPr>
          <w:p w14:paraId="6CE79431"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Awarded.budget.... </w:t>
            </w:r>
          </w:p>
        </w:tc>
        <w:tc>
          <w:tcPr>
            <w:tcW w:w="4065" w:type="dxa"/>
            <w:tcBorders>
              <w:top w:val="single" w:sz="6" w:space="0" w:color="auto"/>
              <w:left w:val="single" w:sz="6" w:space="0" w:color="auto"/>
              <w:bottom w:val="single" w:sz="6" w:space="0" w:color="auto"/>
              <w:right w:val="single" w:sz="6" w:space="0" w:color="auto"/>
            </w:tcBorders>
            <w:hideMark/>
          </w:tcPr>
          <w:p w14:paraId="0B2D0C59"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Sum </w:t>
            </w:r>
          </w:p>
        </w:tc>
      </w:tr>
      <w:tr w:rsidR="00BD451A" w:rsidRPr="00524A62" w14:paraId="1C555ECD" w14:textId="77777777" w:rsidTr="00804D99">
        <w:trPr>
          <w:trHeight w:val="300"/>
        </w:trPr>
        <w:tc>
          <w:tcPr>
            <w:tcW w:w="4260" w:type="dxa"/>
            <w:tcBorders>
              <w:top w:val="single" w:sz="6" w:space="0" w:color="auto"/>
              <w:left w:val="single" w:sz="6" w:space="0" w:color="auto"/>
              <w:bottom w:val="single" w:sz="6" w:space="0" w:color="auto"/>
              <w:right w:val="single" w:sz="6" w:space="0" w:color="auto"/>
            </w:tcBorders>
            <w:hideMark/>
          </w:tcPr>
          <w:p w14:paraId="4C349340"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Awarded.electricity..kWh. </w:t>
            </w:r>
          </w:p>
        </w:tc>
        <w:tc>
          <w:tcPr>
            <w:tcW w:w="4065" w:type="dxa"/>
            <w:tcBorders>
              <w:top w:val="single" w:sz="6" w:space="0" w:color="auto"/>
              <w:left w:val="single" w:sz="6" w:space="0" w:color="auto"/>
              <w:bottom w:val="single" w:sz="6" w:space="0" w:color="auto"/>
              <w:right w:val="single" w:sz="6" w:space="0" w:color="auto"/>
            </w:tcBorders>
            <w:hideMark/>
          </w:tcPr>
          <w:p w14:paraId="1801E907" w14:textId="77777777" w:rsidR="00BD451A" w:rsidRPr="00524A62" w:rsidRDefault="00BD451A" w:rsidP="00BD451A">
            <w:pPr>
              <w:spacing w:after="0" w:line="240" w:lineRule="auto"/>
              <w:textAlignment w:val="baseline"/>
              <w:rPr>
                <w:rFonts w:ascii="Times New Roman" w:eastAsia="Times New Roman" w:hAnsi="Times New Roman" w:cs="Times New Roman"/>
                <w:sz w:val="24"/>
                <w:szCs w:val="24"/>
                <w:lang w:val="en-US"/>
              </w:rPr>
            </w:pPr>
            <w:r w:rsidRPr="00524A62">
              <w:rPr>
                <w:rFonts w:ascii="Calibri" w:eastAsia="Times New Roman" w:hAnsi="Calibri" w:cs="Calibri"/>
                <w:lang w:val="en-US"/>
              </w:rPr>
              <w:t>Sum </w:t>
            </w:r>
          </w:p>
        </w:tc>
      </w:tr>
    </w:tbl>
    <w:p w14:paraId="12AAF728" w14:textId="77777777" w:rsidR="00BD451A" w:rsidRPr="00524A62" w:rsidRDefault="00BD451A" w:rsidP="00BD451A">
      <w:pPr>
        <w:spacing w:after="0" w:line="240" w:lineRule="auto"/>
        <w:ind w:left="720"/>
        <w:textAlignment w:val="baseline"/>
        <w:rPr>
          <w:rFonts w:ascii="Segoe UI" w:eastAsia="Times New Roman" w:hAnsi="Segoe UI" w:cs="Segoe UI"/>
          <w:sz w:val="18"/>
          <w:szCs w:val="18"/>
          <w:lang w:val="en-US"/>
        </w:rPr>
      </w:pPr>
      <w:r w:rsidRPr="00524A62">
        <w:rPr>
          <w:rFonts w:ascii="Calibri" w:eastAsia="Times New Roman" w:hAnsi="Calibri" w:cs="Calibri"/>
          <w:lang w:val="en-US"/>
        </w:rPr>
        <w:t> </w:t>
      </w:r>
    </w:p>
    <w:p w14:paraId="43D87566" w14:textId="501B8691" w:rsidR="00BD451A" w:rsidRPr="00524A62" w:rsidRDefault="00BD451A" w:rsidP="00BD451A">
      <w:pPr>
        <w:numPr>
          <w:ilvl w:val="0"/>
          <w:numId w:val="15"/>
        </w:numPr>
        <w:spacing w:after="0" w:line="240" w:lineRule="auto"/>
        <w:ind w:left="1080" w:firstLine="0"/>
        <w:textAlignment w:val="baseline"/>
        <w:rPr>
          <w:rFonts w:ascii="Calibri" w:eastAsia="Times New Roman" w:hAnsi="Calibri" w:cs="Calibri"/>
          <w:lang w:val="en-US"/>
        </w:rPr>
      </w:pPr>
      <w:r w:rsidRPr="00524A62">
        <w:rPr>
          <w:rFonts w:ascii="Calibri" w:eastAsia="Times New Roman" w:hAnsi="Calibri" w:cs="Calibri"/>
          <w:lang w:val="en-US"/>
        </w:rPr>
        <w:t>The awarded_tendered column records the maximum value of the product that could’ve been auctioned on a given day or programme. The awarded_tender_unit specifies what type of product is auctioned, it can be capacity (kW), budget (eur) or electricity(kWh). The value in the awarded_tender can be for the specific technology in case of a specific auction or for all technologies for multi tech auctions (indicated by “eur/kw for all technologies). </w:t>
      </w:r>
    </w:p>
    <w:p w14:paraId="4B06443D" w14:textId="13003687" w:rsidR="00EE084F" w:rsidRPr="00524A62" w:rsidRDefault="00EE084F" w:rsidP="00BD451A">
      <w:pPr>
        <w:numPr>
          <w:ilvl w:val="0"/>
          <w:numId w:val="15"/>
        </w:numPr>
        <w:spacing w:after="0" w:line="240" w:lineRule="auto"/>
        <w:ind w:left="1080" w:firstLine="0"/>
        <w:textAlignment w:val="baseline"/>
        <w:rPr>
          <w:rFonts w:ascii="Calibri" w:eastAsia="Times New Roman" w:hAnsi="Calibri" w:cs="Calibri"/>
          <w:lang w:val="en-US"/>
        </w:rPr>
      </w:pPr>
      <w:r w:rsidRPr="00524A62">
        <w:rPr>
          <w:rFonts w:ascii="Calibri" w:eastAsia="Times New Roman" w:hAnsi="Calibri" w:cs="Calibri"/>
          <w:lang w:val="en-US"/>
        </w:rPr>
        <w:t>Level_1 is set to = Average awarded price [ct/ kWh]</w:t>
      </w:r>
      <w:r w:rsidR="00540035" w:rsidRPr="00524A62">
        <w:rPr>
          <w:rFonts w:ascii="Calibri" w:eastAsia="Times New Roman" w:hAnsi="Calibri" w:cs="Calibri"/>
          <w:lang w:val="en-US"/>
        </w:rPr>
        <w:t>.</w:t>
      </w:r>
    </w:p>
    <w:p w14:paraId="621CA8EA" w14:textId="77777777" w:rsidR="00BD451A" w:rsidRPr="00524A62" w:rsidRDefault="00BD451A" w:rsidP="00BD451A">
      <w:pPr>
        <w:numPr>
          <w:ilvl w:val="0"/>
          <w:numId w:val="16"/>
        </w:numPr>
        <w:spacing w:after="0" w:line="240" w:lineRule="auto"/>
        <w:ind w:left="1080" w:firstLine="0"/>
        <w:textAlignment w:val="baseline"/>
        <w:rPr>
          <w:rFonts w:ascii="Calibri" w:eastAsia="Times New Roman" w:hAnsi="Calibri" w:cs="Calibri"/>
          <w:lang w:val="en-US"/>
        </w:rPr>
      </w:pPr>
      <w:r w:rsidRPr="00524A62">
        <w:rPr>
          <w:rFonts w:ascii="Calibri" w:eastAsia="Times New Roman" w:hAnsi="Calibri" w:cs="Calibri"/>
          <w:lang w:val="en-US"/>
        </w:rPr>
        <w:t>The awarded_capacity column records the results of the auction, i.e, the actually capacity/electricity/budget awarded to the bidder. Wherever capacity is recorded in the aures dataset (in the original column “Awarded.capacity..kW.”), the information is retained. In case the information in the original column was missing and budget or electricity awarded data was available, “awarded_capacity” column records units in eur or kWh. These units are specified in the “awarded_capacity_units” column.  </w:t>
      </w:r>
    </w:p>
    <w:p w14:paraId="0088F134" w14:textId="0817593D" w:rsidR="00BD451A" w:rsidRPr="00524A62" w:rsidRDefault="00BD451A" w:rsidP="00BD451A">
      <w:pPr>
        <w:numPr>
          <w:ilvl w:val="0"/>
          <w:numId w:val="17"/>
        </w:numPr>
        <w:spacing w:after="0" w:line="240" w:lineRule="auto"/>
        <w:ind w:left="1080" w:firstLine="0"/>
        <w:textAlignment w:val="baseline"/>
        <w:rPr>
          <w:rFonts w:ascii="Calibri" w:eastAsia="Times New Roman" w:hAnsi="Calibri" w:cs="Calibri"/>
          <w:lang w:val="en-US"/>
        </w:rPr>
      </w:pPr>
      <w:r w:rsidRPr="00524A62">
        <w:rPr>
          <w:rFonts w:ascii="Calibri" w:eastAsia="Times New Roman" w:hAnsi="Calibri" w:cs="Calibri"/>
          <w:lang w:val="en-US"/>
        </w:rPr>
        <w:t xml:space="preserve">For example, observations like </w:t>
      </w:r>
      <w:r w:rsidR="000D3DA5" w:rsidRPr="00524A62">
        <w:rPr>
          <w:rFonts w:ascii="Calibri" w:eastAsia="Times New Roman" w:hAnsi="Calibri" w:cs="Calibri"/>
          <w:lang w:val="en-US"/>
        </w:rPr>
        <w:t>“</w:t>
      </w:r>
      <w:r w:rsidRPr="00524A62">
        <w:rPr>
          <w:rFonts w:ascii="Calibri" w:eastAsia="Times New Roman" w:hAnsi="Calibri" w:cs="Calibri"/>
          <w:lang w:val="en-US"/>
        </w:rPr>
        <w:t>NL_25_MT</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NL_3_MT</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record “awarded_capacity” in EUR and observations like </w:t>
      </w:r>
      <w:r w:rsidR="000D3DA5" w:rsidRPr="00524A62">
        <w:rPr>
          <w:rFonts w:ascii="Calibri" w:eastAsia="Times New Roman" w:hAnsi="Calibri" w:cs="Calibri"/>
          <w:lang w:val="en-US"/>
        </w:rPr>
        <w:t>“</w:t>
      </w:r>
      <w:r w:rsidRPr="00524A62">
        <w:rPr>
          <w:rFonts w:ascii="Calibri" w:eastAsia="Times New Roman" w:hAnsi="Calibri" w:cs="Calibri"/>
          <w:lang w:val="en-US"/>
        </w:rPr>
        <w:t>FI_1_MT</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HU_6_MT</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 </w:t>
      </w:r>
      <w:r w:rsidR="000D3DA5" w:rsidRPr="00524A62">
        <w:rPr>
          <w:rFonts w:ascii="Calibri" w:eastAsia="Times New Roman" w:hAnsi="Calibri" w:cs="Calibri"/>
          <w:lang w:val="en-US"/>
        </w:rPr>
        <w:t>“</w:t>
      </w:r>
      <w:r w:rsidRPr="00524A62">
        <w:rPr>
          <w:rFonts w:ascii="Calibri" w:eastAsia="Times New Roman" w:hAnsi="Calibri" w:cs="Calibri"/>
          <w:lang w:val="en-US"/>
        </w:rPr>
        <w:t>PL_1</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PL_12_MT</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PL_13</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PL_15_MT</w:t>
      </w:r>
      <w:r w:rsidR="000D3DA5" w:rsidRPr="00524A62">
        <w:rPr>
          <w:rFonts w:ascii="Calibri" w:eastAsia="Times New Roman" w:hAnsi="Calibri" w:cs="Calibri"/>
          <w:lang w:val="en-US"/>
        </w:rPr>
        <w:t>”</w:t>
      </w:r>
      <w:r w:rsidRPr="00524A62">
        <w:rPr>
          <w:rFonts w:ascii="Calibri" w:eastAsia="Times New Roman" w:hAnsi="Calibri" w:cs="Calibri"/>
          <w:lang w:val="en-US"/>
        </w:rPr>
        <w:t xml:space="preserve"> ,</w:t>
      </w:r>
      <w:r w:rsidR="000D3DA5" w:rsidRPr="00524A62">
        <w:rPr>
          <w:rFonts w:ascii="Calibri" w:eastAsia="Times New Roman" w:hAnsi="Calibri" w:cs="Calibri"/>
          <w:lang w:val="en-US"/>
        </w:rPr>
        <w:t>”</w:t>
      </w:r>
      <w:r w:rsidRPr="00524A62">
        <w:rPr>
          <w:rFonts w:ascii="Calibri" w:eastAsia="Times New Roman" w:hAnsi="Calibri" w:cs="Calibri"/>
          <w:lang w:val="en-US"/>
        </w:rPr>
        <w:t>PL_17</w:t>
      </w:r>
      <w:r w:rsidR="000D3DA5" w:rsidRPr="00524A62">
        <w:rPr>
          <w:rFonts w:ascii="Calibri" w:eastAsia="Times New Roman" w:hAnsi="Calibri" w:cs="Calibri"/>
          <w:lang w:val="en-US"/>
        </w:rPr>
        <w:t>”</w:t>
      </w:r>
      <w:r w:rsidRPr="00524A62">
        <w:rPr>
          <w:rFonts w:ascii="Calibri" w:eastAsia="Times New Roman" w:hAnsi="Calibri" w:cs="Calibri"/>
          <w:lang w:val="en-US"/>
        </w:rPr>
        <w:t>,</w:t>
      </w:r>
      <w:r w:rsidR="000D3DA5" w:rsidRPr="00524A62">
        <w:rPr>
          <w:rFonts w:ascii="Calibri" w:eastAsia="Times New Roman" w:hAnsi="Calibri" w:cs="Calibri"/>
          <w:lang w:val="en-US"/>
        </w:rPr>
        <w:t>”</w:t>
      </w:r>
      <w:r w:rsidRPr="00524A62">
        <w:rPr>
          <w:rFonts w:ascii="Calibri" w:eastAsia="Times New Roman" w:hAnsi="Calibri" w:cs="Calibri"/>
          <w:lang w:val="en-US"/>
        </w:rPr>
        <w:t>PL_19</w:t>
      </w:r>
      <w:r w:rsidR="000D3DA5" w:rsidRPr="00524A62">
        <w:rPr>
          <w:rFonts w:ascii="Calibri" w:eastAsia="Times New Roman" w:hAnsi="Calibri" w:cs="Calibri"/>
          <w:lang w:val="en-US"/>
        </w:rPr>
        <w:t>”</w:t>
      </w:r>
      <w:r w:rsidRPr="00524A62">
        <w:rPr>
          <w:rFonts w:ascii="Calibri" w:eastAsia="Times New Roman" w:hAnsi="Calibri" w:cs="Calibri"/>
          <w:lang w:val="en-US"/>
        </w:rPr>
        <w:t>,</w:t>
      </w:r>
      <w:r w:rsidR="000D3DA5" w:rsidRPr="00524A62">
        <w:rPr>
          <w:rFonts w:ascii="Calibri" w:eastAsia="Times New Roman" w:hAnsi="Calibri" w:cs="Calibri"/>
          <w:lang w:val="en-US"/>
        </w:rPr>
        <w:t>”</w:t>
      </w:r>
      <w:r w:rsidRPr="00524A62">
        <w:rPr>
          <w:rFonts w:ascii="Calibri" w:eastAsia="Times New Roman" w:hAnsi="Calibri" w:cs="Calibri"/>
          <w:lang w:val="en-US"/>
        </w:rPr>
        <w:t>PL_21</w:t>
      </w:r>
      <w:r w:rsidR="000D3DA5" w:rsidRPr="00524A62">
        <w:rPr>
          <w:rFonts w:ascii="Calibri" w:eastAsia="Times New Roman" w:hAnsi="Calibri" w:cs="Calibri"/>
          <w:lang w:val="en-US"/>
        </w:rPr>
        <w:t>”</w:t>
      </w:r>
      <w:r w:rsidRPr="00524A62">
        <w:rPr>
          <w:rFonts w:ascii="Calibri" w:eastAsia="Times New Roman" w:hAnsi="Calibri" w:cs="Calibri"/>
          <w:lang w:val="en-US"/>
        </w:rPr>
        <w:t>,</w:t>
      </w:r>
      <w:r w:rsidR="000D3DA5" w:rsidRPr="00524A62">
        <w:rPr>
          <w:rFonts w:ascii="Calibri" w:eastAsia="Times New Roman" w:hAnsi="Calibri" w:cs="Calibri"/>
          <w:lang w:val="en-US"/>
        </w:rPr>
        <w:t>”</w:t>
      </w:r>
      <w:r w:rsidRPr="00524A62">
        <w:rPr>
          <w:rFonts w:ascii="Calibri" w:eastAsia="Times New Roman" w:hAnsi="Calibri" w:cs="Calibri"/>
          <w:lang w:val="en-US"/>
        </w:rPr>
        <w:t>PL_23</w:t>
      </w:r>
      <w:r w:rsidR="000D3DA5" w:rsidRPr="00524A62">
        <w:rPr>
          <w:rFonts w:ascii="Calibri" w:eastAsia="Times New Roman" w:hAnsi="Calibri" w:cs="Calibri"/>
          <w:lang w:val="en-US"/>
        </w:rPr>
        <w:t>”</w:t>
      </w:r>
      <w:r w:rsidRPr="00524A62">
        <w:rPr>
          <w:rFonts w:ascii="Calibri" w:eastAsia="Times New Roman" w:hAnsi="Calibri" w:cs="Calibri"/>
          <w:lang w:val="en-US"/>
        </w:rPr>
        <w:t>,</w:t>
      </w:r>
      <w:r w:rsidR="000D3DA5" w:rsidRPr="00524A62">
        <w:rPr>
          <w:rFonts w:ascii="Calibri" w:eastAsia="Times New Roman" w:hAnsi="Calibri" w:cs="Calibri"/>
          <w:lang w:val="en-US"/>
        </w:rPr>
        <w:t>”</w:t>
      </w:r>
      <w:r w:rsidRPr="00524A62">
        <w:rPr>
          <w:rFonts w:ascii="Calibri" w:eastAsia="Times New Roman" w:hAnsi="Calibri" w:cs="Calibri"/>
          <w:lang w:val="en-US"/>
        </w:rPr>
        <w:t>PL_25_MT</w:t>
      </w:r>
      <w:r w:rsidR="000D3DA5" w:rsidRPr="00524A62">
        <w:rPr>
          <w:rFonts w:ascii="Calibri" w:eastAsia="Times New Roman" w:hAnsi="Calibri" w:cs="Calibri"/>
          <w:lang w:val="en-US"/>
        </w:rPr>
        <w:t>”</w:t>
      </w:r>
      <w:r w:rsidRPr="00524A62">
        <w:rPr>
          <w:rFonts w:ascii="Calibri" w:eastAsia="Times New Roman" w:hAnsi="Calibri" w:cs="Calibri"/>
          <w:lang w:val="en-US"/>
        </w:rPr>
        <w:t>,</w:t>
      </w:r>
      <w:r w:rsidR="000D3DA5" w:rsidRPr="00524A62">
        <w:rPr>
          <w:rFonts w:ascii="Calibri" w:eastAsia="Times New Roman" w:hAnsi="Calibri" w:cs="Calibri"/>
          <w:lang w:val="en-US"/>
        </w:rPr>
        <w:t>”</w:t>
      </w:r>
      <w:r w:rsidRPr="00524A62">
        <w:rPr>
          <w:rFonts w:ascii="Calibri" w:eastAsia="Times New Roman" w:hAnsi="Calibri" w:cs="Calibri"/>
          <w:lang w:val="en-US"/>
        </w:rPr>
        <w:t>PL_26</w:t>
      </w:r>
      <w:r w:rsidR="000D3DA5" w:rsidRPr="00524A62">
        <w:rPr>
          <w:rFonts w:ascii="Calibri" w:eastAsia="Times New Roman" w:hAnsi="Calibri" w:cs="Calibri"/>
          <w:lang w:val="en-US"/>
        </w:rPr>
        <w:t>”</w:t>
      </w:r>
      <w:r w:rsidRPr="00524A62">
        <w:rPr>
          <w:rFonts w:ascii="Calibri" w:eastAsia="Times New Roman" w:hAnsi="Calibri" w:cs="Calibri"/>
          <w:lang w:val="en-US"/>
        </w:rPr>
        <w:t>,</w:t>
      </w:r>
      <w:r w:rsidR="000D3DA5" w:rsidRPr="00524A62">
        <w:rPr>
          <w:rFonts w:ascii="Calibri" w:eastAsia="Times New Roman" w:hAnsi="Calibri" w:cs="Calibri"/>
          <w:lang w:val="en-US"/>
        </w:rPr>
        <w:t>”</w:t>
      </w:r>
      <w:r w:rsidRPr="00524A62">
        <w:rPr>
          <w:rFonts w:ascii="Calibri" w:eastAsia="Times New Roman" w:hAnsi="Calibri" w:cs="Calibri"/>
          <w:lang w:val="en-US"/>
        </w:rPr>
        <w:t>PL_28_MT</w:t>
      </w:r>
      <w:r w:rsidR="000D3DA5" w:rsidRPr="00524A62">
        <w:rPr>
          <w:rFonts w:ascii="Calibri" w:eastAsia="Times New Roman" w:hAnsi="Calibri" w:cs="Calibri"/>
          <w:lang w:val="en-US"/>
        </w:rPr>
        <w:t>”</w:t>
      </w:r>
      <w:r w:rsidRPr="00524A62">
        <w:rPr>
          <w:rFonts w:ascii="Calibri" w:eastAsia="Times New Roman" w:hAnsi="Calibri" w:cs="Calibri"/>
          <w:lang w:val="en-US"/>
        </w:rPr>
        <w:t>,</w:t>
      </w:r>
      <w:r w:rsidR="000D3DA5" w:rsidRPr="00524A62">
        <w:rPr>
          <w:rFonts w:ascii="Calibri" w:eastAsia="Times New Roman" w:hAnsi="Calibri" w:cs="Calibri"/>
          <w:lang w:val="en-US"/>
        </w:rPr>
        <w:t>”</w:t>
      </w:r>
      <w:r w:rsidRPr="00524A62">
        <w:rPr>
          <w:rFonts w:ascii="Calibri" w:eastAsia="Times New Roman" w:hAnsi="Calibri" w:cs="Calibri"/>
          <w:lang w:val="en-US"/>
        </w:rPr>
        <w:t>PL_32</w:t>
      </w:r>
      <w:r w:rsidR="000D3DA5" w:rsidRPr="00524A62">
        <w:rPr>
          <w:rFonts w:ascii="Calibri" w:eastAsia="Times New Roman" w:hAnsi="Calibri" w:cs="Calibri"/>
          <w:lang w:val="en-US"/>
        </w:rPr>
        <w:t>”</w:t>
      </w:r>
      <w:r w:rsidRPr="00524A62">
        <w:rPr>
          <w:rFonts w:ascii="Calibri" w:eastAsia="Times New Roman" w:hAnsi="Calibri" w:cs="Calibri"/>
          <w:lang w:val="en-US"/>
        </w:rPr>
        <w:t>,</w:t>
      </w:r>
      <w:r w:rsidR="000D3DA5" w:rsidRPr="00524A62">
        <w:rPr>
          <w:rFonts w:ascii="Calibri" w:eastAsia="Times New Roman" w:hAnsi="Calibri" w:cs="Calibri"/>
          <w:lang w:val="en-US"/>
        </w:rPr>
        <w:t>”</w:t>
      </w:r>
      <w:r w:rsidRPr="00524A62">
        <w:rPr>
          <w:rFonts w:ascii="Calibri" w:eastAsia="Times New Roman" w:hAnsi="Calibri" w:cs="Calibri"/>
          <w:lang w:val="en-US"/>
        </w:rPr>
        <w:t>PL_33</w:t>
      </w:r>
      <w:r w:rsidR="000D3DA5" w:rsidRPr="00524A62">
        <w:rPr>
          <w:rFonts w:ascii="Calibri" w:eastAsia="Times New Roman" w:hAnsi="Calibri" w:cs="Calibri"/>
          <w:lang w:val="en-US"/>
        </w:rPr>
        <w:t>”</w:t>
      </w:r>
      <w:r w:rsidRPr="00524A62">
        <w:rPr>
          <w:rFonts w:ascii="Calibri" w:eastAsia="Times New Roman" w:hAnsi="Calibri" w:cs="Calibri"/>
          <w:lang w:val="en-US"/>
        </w:rPr>
        <w:t>,</w:t>
      </w:r>
      <w:r w:rsidR="000D3DA5" w:rsidRPr="00524A62">
        <w:rPr>
          <w:rFonts w:ascii="Calibri" w:eastAsia="Times New Roman" w:hAnsi="Calibri" w:cs="Calibri"/>
          <w:lang w:val="en-US"/>
        </w:rPr>
        <w:t>”</w:t>
      </w:r>
      <w:r w:rsidRPr="00524A62">
        <w:rPr>
          <w:rFonts w:ascii="Calibri" w:eastAsia="Times New Roman" w:hAnsi="Calibri" w:cs="Calibri"/>
          <w:lang w:val="en-US"/>
        </w:rPr>
        <w:t>PL_39_MT</w:t>
      </w:r>
      <w:r w:rsidR="000D3DA5" w:rsidRPr="00524A62">
        <w:rPr>
          <w:rFonts w:ascii="Calibri" w:eastAsia="Times New Roman" w:hAnsi="Calibri" w:cs="Calibri"/>
          <w:lang w:val="en-US"/>
        </w:rPr>
        <w:t>”</w:t>
      </w:r>
      <w:r w:rsidRPr="00524A62">
        <w:rPr>
          <w:rFonts w:ascii="Calibri" w:eastAsia="Times New Roman" w:hAnsi="Calibri" w:cs="Calibri"/>
          <w:lang w:val="en-US"/>
        </w:rPr>
        <w:t>,</w:t>
      </w:r>
      <w:r w:rsidR="000D3DA5" w:rsidRPr="00524A62">
        <w:rPr>
          <w:rFonts w:ascii="Calibri" w:eastAsia="Times New Roman" w:hAnsi="Calibri" w:cs="Calibri"/>
          <w:lang w:val="en-US"/>
        </w:rPr>
        <w:t>”</w:t>
      </w:r>
      <w:r w:rsidRPr="00524A62">
        <w:rPr>
          <w:rFonts w:ascii="Calibri" w:eastAsia="Times New Roman" w:hAnsi="Calibri" w:cs="Calibri"/>
          <w:lang w:val="en-US"/>
        </w:rPr>
        <w:t>PL_3_MT</w:t>
      </w:r>
      <w:r w:rsidR="000D3DA5" w:rsidRPr="00524A62">
        <w:rPr>
          <w:rFonts w:ascii="Calibri" w:eastAsia="Times New Roman" w:hAnsi="Calibri" w:cs="Calibri"/>
          <w:lang w:val="en-US"/>
        </w:rPr>
        <w:t>”</w:t>
      </w:r>
      <w:r w:rsidRPr="00524A62">
        <w:rPr>
          <w:rFonts w:ascii="Calibri" w:eastAsia="Times New Roman" w:hAnsi="Calibri" w:cs="Calibri"/>
          <w:lang w:val="en-US"/>
        </w:rPr>
        <w:t>,</w:t>
      </w:r>
      <w:r w:rsidR="000D3DA5" w:rsidRPr="00524A62">
        <w:rPr>
          <w:rFonts w:ascii="Calibri" w:eastAsia="Times New Roman" w:hAnsi="Calibri" w:cs="Calibri"/>
          <w:lang w:val="en-US"/>
        </w:rPr>
        <w:t>”</w:t>
      </w:r>
      <w:r w:rsidRPr="00524A62">
        <w:rPr>
          <w:rFonts w:ascii="Calibri" w:eastAsia="Times New Roman" w:hAnsi="Calibri" w:cs="Calibri"/>
          <w:lang w:val="en-US"/>
        </w:rPr>
        <w:t>PL_4_MT</w:t>
      </w:r>
      <w:r w:rsidR="00565A42" w:rsidRPr="00524A62">
        <w:rPr>
          <w:rFonts w:ascii="Calibri" w:eastAsia="Times New Roman" w:hAnsi="Calibri" w:cs="Calibri"/>
          <w:lang w:val="en-US"/>
        </w:rPr>
        <w:t>”</w:t>
      </w:r>
      <w:r w:rsidRPr="00524A62">
        <w:rPr>
          <w:rFonts w:ascii="Calibri" w:eastAsia="Times New Roman" w:hAnsi="Calibri" w:cs="Calibri"/>
          <w:lang w:val="en-US"/>
        </w:rPr>
        <w:t>,</w:t>
      </w:r>
      <w:r w:rsidR="00565A42" w:rsidRPr="00524A62">
        <w:rPr>
          <w:rFonts w:ascii="Calibri" w:eastAsia="Times New Roman" w:hAnsi="Calibri" w:cs="Calibri"/>
          <w:lang w:val="en-US"/>
        </w:rPr>
        <w:t>”</w:t>
      </w:r>
      <w:r w:rsidRPr="00524A62">
        <w:rPr>
          <w:rFonts w:ascii="Calibri" w:eastAsia="Times New Roman" w:hAnsi="Calibri" w:cs="Calibri"/>
          <w:lang w:val="en-US"/>
        </w:rPr>
        <w:t>PL_5_MT</w:t>
      </w:r>
      <w:r w:rsidR="00565A42" w:rsidRPr="00524A62">
        <w:rPr>
          <w:rFonts w:ascii="Calibri" w:eastAsia="Times New Roman" w:hAnsi="Calibri" w:cs="Calibri"/>
          <w:lang w:val="en-US"/>
        </w:rPr>
        <w:t>”</w:t>
      </w:r>
      <w:r w:rsidRPr="00524A62">
        <w:rPr>
          <w:rFonts w:ascii="Calibri" w:eastAsia="Times New Roman" w:hAnsi="Calibri" w:cs="Calibri"/>
          <w:lang w:val="en-US"/>
        </w:rPr>
        <w:t>,</w:t>
      </w:r>
      <w:r w:rsidR="00565A42" w:rsidRPr="00524A62">
        <w:rPr>
          <w:rFonts w:ascii="Calibri" w:eastAsia="Times New Roman" w:hAnsi="Calibri" w:cs="Calibri"/>
          <w:lang w:val="en-US"/>
        </w:rPr>
        <w:t>”</w:t>
      </w:r>
      <w:r w:rsidRPr="00524A62">
        <w:rPr>
          <w:rFonts w:ascii="Calibri" w:eastAsia="Times New Roman" w:hAnsi="Calibri" w:cs="Calibri"/>
          <w:lang w:val="en-US"/>
        </w:rPr>
        <w:t>PL_6_MT</w:t>
      </w:r>
      <w:r w:rsidR="00565A42" w:rsidRPr="00524A62">
        <w:rPr>
          <w:rFonts w:ascii="Calibri" w:eastAsia="Times New Roman" w:hAnsi="Calibri" w:cs="Calibri"/>
          <w:lang w:val="en-US"/>
        </w:rPr>
        <w:t>”</w:t>
      </w:r>
      <w:r w:rsidRPr="00524A62">
        <w:rPr>
          <w:rFonts w:ascii="Calibri" w:eastAsia="Times New Roman" w:hAnsi="Calibri" w:cs="Calibri"/>
          <w:lang w:val="en-US"/>
        </w:rPr>
        <w:t xml:space="preserve"> recorded “awarded_capacity” in kWh. </w:t>
      </w:r>
    </w:p>
    <w:p w14:paraId="209A035A" w14:textId="4949CA72" w:rsidR="00BD451A" w:rsidRPr="00524A62" w:rsidRDefault="00BD451A" w:rsidP="00BD451A">
      <w:pPr>
        <w:numPr>
          <w:ilvl w:val="0"/>
          <w:numId w:val="18"/>
        </w:numPr>
        <w:spacing w:after="0" w:line="240" w:lineRule="auto"/>
        <w:ind w:left="1080" w:firstLine="0"/>
        <w:textAlignment w:val="baseline"/>
        <w:rPr>
          <w:rFonts w:ascii="Calibri" w:eastAsia="Times New Roman" w:hAnsi="Calibri" w:cs="Calibri"/>
          <w:lang w:val="en-US"/>
        </w:rPr>
      </w:pPr>
      <w:r w:rsidRPr="00524A62">
        <w:rPr>
          <w:rFonts w:ascii="Calibri" w:eastAsia="Times New Roman" w:hAnsi="Calibri" w:cs="Calibri"/>
          <w:lang w:val="en-US"/>
        </w:rPr>
        <w:t xml:space="preserve">For consistency, all values in cap and support outcome are converted to </w:t>
      </w:r>
      <w:r w:rsidR="001D04BF">
        <w:rPr>
          <w:rFonts w:ascii="Calibri" w:eastAsia="Times New Roman" w:hAnsi="Calibri" w:cs="Calibri"/>
          <w:lang w:val="en-US"/>
        </w:rPr>
        <w:t>EUR</w:t>
      </w:r>
      <w:r w:rsidRPr="00524A62">
        <w:rPr>
          <w:rFonts w:ascii="Calibri" w:eastAsia="Times New Roman" w:hAnsi="Calibri" w:cs="Calibri"/>
          <w:lang w:val="en-US"/>
        </w:rPr>
        <w:t xml:space="preserve"> cents by dividing by 100.  </w:t>
      </w:r>
    </w:p>
    <w:p w14:paraId="4F7F54A9" w14:textId="77777777" w:rsidR="00BD451A" w:rsidRPr="00524A62" w:rsidRDefault="00BD451A" w:rsidP="00BD451A">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lang w:val="en-US"/>
        </w:rPr>
        <w:t> </w:t>
      </w:r>
    </w:p>
    <w:p w14:paraId="62DFA8E1" w14:textId="0EA41D27" w:rsidR="00BD451A" w:rsidRPr="00524A62" w:rsidRDefault="00BD451A" w:rsidP="00BD451A">
      <w:pPr>
        <w:spacing w:after="0" w:line="240" w:lineRule="auto"/>
        <w:textAlignment w:val="baseline"/>
        <w:rPr>
          <w:rFonts w:ascii="Calibri" w:eastAsia="Times New Roman" w:hAnsi="Calibri" w:cs="Calibri"/>
          <w:b/>
          <w:bCs/>
          <w:lang w:val="en-US"/>
        </w:rPr>
      </w:pPr>
      <w:r w:rsidRPr="00524A62">
        <w:rPr>
          <w:rFonts w:ascii="Calibri" w:eastAsia="Times New Roman" w:hAnsi="Calibri" w:cs="Calibri"/>
          <w:lang w:val="en-US"/>
        </w:rPr>
        <w:t> </w:t>
      </w:r>
      <w:r w:rsidR="005A4E6E" w:rsidRPr="00524A62">
        <w:rPr>
          <w:rFonts w:ascii="Calibri" w:eastAsia="Times New Roman" w:hAnsi="Calibri" w:cs="Calibri"/>
          <w:b/>
          <w:bCs/>
          <w:lang w:val="en-US"/>
        </w:rPr>
        <w:t xml:space="preserve">Finally, we </w:t>
      </w:r>
      <w:r w:rsidR="00804D99" w:rsidRPr="00524A62">
        <w:rPr>
          <w:rFonts w:ascii="Calibri" w:eastAsia="Times New Roman" w:hAnsi="Calibri" w:cs="Calibri"/>
          <w:b/>
          <w:bCs/>
          <w:lang w:val="en-US"/>
        </w:rPr>
        <w:t>clean to merge with our dataset:</w:t>
      </w:r>
    </w:p>
    <w:p w14:paraId="48FF1A0A" w14:textId="7D96C64C" w:rsidR="00804D99" w:rsidRPr="00524A62" w:rsidRDefault="00804D99" w:rsidP="00BD451A">
      <w:pPr>
        <w:spacing w:after="0" w:line="240" w:lineRule="auto"/>
        <w:textAlignment w:val="baseline"/>
        <w:rPr>
          <w:rFonts w:ascii="Segoe UI" w:eastAsia="Times New Roman" w:hAnsi="Segoe UI" w:cs="Segoe UI"/>
          <w:sz w:val="18"/>
          <w:szCs w:val="18"/>
          <w:lang w:val="en-US"/>
        </w:rPr>
      </w:pPr>
      <w:r w:rsidRPr="00524A62">
        <w:rPr>
          <w:rFonts w:ascii="Calibri" w:eastAsia="Times New Roman" w:hAnsi="Calibri" w:cs="Calibri"/>
          <w:b/>
          <w:bCs/>
          <w:lang w:val="en-US"/>
        </w:rPr>
        <w:t xml:space="preserve"> </w:t>
      </w:r>
    </w:p>
    <w:p w14:paraId="395E9ADA" w14:textId="16610A5C" w:rsidR="00BD451A" w:rsidRPr="00524A62" w:rsidRDefault="00804D99" w:rsidP="00804D99">
      <w:pPr>
        <w:pStyle w:val="ListParagraph"/>
        <w:numPr>
          <w:ilvl w:val="0"/>
          <w:numId w:val="2"/>
        </w:numPr>
        <w:spacing w:after="0" w:line="240" w:lineRule="auto"/>
        <w:textAlignment w:val="baseline"/>
        <w:rPr>
          <w:rFonts w:ascii="Segoe UI" w:eastAsia="Times New Roman" w:hAnsi="Segoe UI" w:cs="Segoe UI"/>
          <w:sz w:val="18"/>
          <w:szCs w:val="18"/>
          <w:lang w:val="en-US"/>
        </w:rPr>
      </w:pPr>
      <w:r w:rsidRPr="00524A62">
        <w:rPr>
          <w:rFonts w:ascii="Segoe UI" w:eastAsia="Times New Roman" w:hAnsi="Segoe UI" w:cs="Segoe UI"/>
          <w:sz w:val="18"/>
          <w:szCs w:val="18"/>
          <w:lang w:val="en-US"/>
        </w:rPr>
        <w:t>AURESII awarded budget is set to “government budget”</w:t>
      </w:r>
    </w:p>
    <w:p w14:paraId="6FD214E9" w14:textId="105510CF" w:rsidR="00B8421C" w:rsidRPr="00524A62" w:rsidRDefault="00F5035A" w:rsidP="00755AB5">
      <w:pPr>
        <w:pStyle w:val="ListParagraph"/>
        <w:numPr>
          <w:ilvl w:val="0"/>
          <w:numId w:val="2"/>
        </w:numPr>
        <w:spacing w:after="0" w:line="240" w:lineRule="auto"/>
        <w:textAlignment w:val="baseline"/>
        <w:rPr>
          <w:rFonts w:ascii="Segoe UI" w:eastAsia="Times New Roman" w:hAnsi="Segoe UI" w:cs="Segoe UI"/>
          <w:sz w:val="18"/>
          <w:szCs w:val="18"/>
          <w:lang w:val="en-US"/>
        </w:rPr>
      </w:pPr>
      <w:r w:rsidRPr="00524A62">
        <w:rPr>
          <w:rFonts w:ascii="Segoe UI" w:eastAsia="Times New Roman" w:hAnsi="Segoe UI" w:cs="Segoe UI"/>
          <w:sz w:val="18"/>
          <w:szCs w:val="18"/>
          <w:lang w:val="en-US"/>
        </w:rPr>
        <w:t>Tech types are recoded as follows:</w:t>
      </w:r>
    </w:p>
    <w:p w14:paraId="2A727D96" w14:textId="77777777" w:rsidR="008B37AD" w:rsidRPr="00524A62" w:rsidRDefault="008B37AD" w:rsidP="00755AB5">
      <w:pPr>
        <w:pStyle w:val="ListParagraph"/>
        <w:numPr>
          <w:ilvl w:val="0"/>
          <w:numId w:val="2"/>
        </w:numPr>
        <w:spacing w:after="0" w:line="240" w:lineRule="auto"/>
        <w:textAlignment w:val="baseline"/>
        <w:rPr>
          <w:rFonts w:ascii="Segoe UI" w:eastAsia="Times New Roman" w:hAnsi="Segoe UI" w:cs="Segoe UI"/>
          <w:sz w:val="18"/>
          <w:szCs w:val="18"/>
          <w:lang w:val="en-US"/>
        </w:rPr>
      </w:pPr>
    </w:p>
    <w:tbl>
      <w:tblPr>
        <w:tblW w:w="8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24"/>
        <w:gridCol w:w="3086"/>
      </w:tblGrid>
      <w:tr w:rsidR="00E340D6" w:rsidRPr="00524A62" w14:paraId="02BB1D07" w14:textId="77777777" w:rsidTr="001574B6">
        <w:trPr>
          <w:trHeight w:val="235"/>
        </w:trPr>
        <w:tc>
          <w:tcPr>
            <w:tcW w:w="2547" w:type="dxa"/>
            <w:noWrap/>
            <w:vAlign w:val="bottom"/>
            <w:hideMark/>
          </w:tcPr>
          <w:p w14:paraId="0C12BD32" w14:textId="77777777" w:rsidR="00E340D6" w:rsidRPr="00524A62" w:rsidRDefault="00E340D6" w:rsidP="001574B6">
            <w:pPr>
              <w:spacing w:after="0" w:line="240" w:lineRule="auto"/>
              <w:rPr>
                <w:rFonts w:ascii="Calibri" w:eastAsia="Times New Roman" w:hAnsi="Calibri" w:cs="Calibri"/>
                <w:b/>
                <w:bCs/>
                <w:color w:val="000000"/>
                <w:lang w:val="en-US"/>
              </w:rPr>
            </w:pPr>
            <w:r w:rsidRPr="00524A62">
              <w:rPr>
                <w:rFonts w:ascii="Calibri" w:eastAsia="Times New Roman" w:hAnsi="Calibri" w:cs="Calibri"/>
                <w:b/>
                <w:bCs/>
                <w:color w:val="000000"/>
                <w:lang w:val="en-US"/>
              </w:rPr>
              <w:t>AURES Technology type</w:t>
            </w:r>
          </w:p>
        </w:tc>
        <w:tc>
          <w:tcPr>
            <w:tcW w:w="2624" w:type="dxa"/>
            <w:noWrap/>
            <w:vAlign w:val="bottom"/>
            <w:hideMark/>
          </w:tcPr>
          <w:p w14:paraId="45F0EF9F" w14:textId="0B822933" w:rsidR="00E340D6" w:rsidRPr="00524A62" w:rsidRDefault="00A21A6A" w:rsidP="001574B6">
            <w:pPr>
              <w:spacing w:after="0" w:line="240" w:lineRule="auto"/>
              <w:rPr>
                <w:rFonts w:ascii="Calibri" w:eastAsia="Times New Roman" w:hAnsi="Calibri" w:cs="Calibri"/>
                <w:b/>
                <w:bCs/>
                <w:color w:val="000000"/>
                <w:lang w:val="en-US"/>
              </w:rPr>
            </w:pPr>
            <w:r w:rsidRPr="00524A62">
              <w:rPr>
                <w:rFonts w:ascii="Calibri" w:eastAsia="Times New Roman" w:hAnsi="Calibri" w:cs="Calibri"/>
                <w:b/>
                <w:bCs/>
                <w:color w:val="000000"/>
                <w:lang w:val="en-US"/>
              </w:rPr>
              <w:t>technology_</w:t>
            </w:r>
            <w:r w:rsidR="00E340D6" w:rsidRPr="00524A62">
              <w:rPr>
                <w:rFonts w:ascii="Calibri" w:eastAsia="Times New Roman" w:hAnsi="Calibri" w:cs="Calibri"/>
                <w:b/>
                <w:bCs/>
                <w:color w:val="000000"/>
                <w:lang w:val="en-US"/>
              </w:rPr>
              <w:t>type</w:t>
            </w:r>
          </w:p>
        </w:tc>
        <w:tc>
          <w:tcPr>
            <w:tcW w:w="3086" w:type="dxa"/>
            <w:noWrap/>
            <w:vAlign w:val="bottom"/>
            <w:hideMark/>
          </w:tcPr>
          <w:p w14:paraId="4725730A" w14:textId="31176898" w:rsidR="00E340D6" w:rsidRPr="00524A62" w:rsidRDefault="00E340D6" w:rsidP="001574B6">
            <w:pPr>
              <w:spacing w:after="0" w:line="240" w:lineRule="auto"/>
              <w:rPr>
                <w:rFonts w:ascii="Calibri" w:eastAsia="Times New Roman" w:hAnsi="Calibri" w:cs="Calibri"/>
                <w:b/>
                <w:bCs/>
                <w:color w:val="000000"/>
                <w:lang w:val="en-US"/>
              </w:rPr>
            </w:pPr>
            <w:r w:rsidRPr="00524A62">
              <w:rPr>
                <w:rFonts w:ascii="Calibri" w:eastAsia="Times New Roman" w:hAnsi="Calibri" w:cs="Calibri"/>
                <w:b/>
                <w:bCs/>
                <w:color w:val="000000"/>
                <w:lang w:val="en-US"/>
              </w:rPr>
              <w:t xml:space="preserve">New </w:t>
            </w:r>
            <w:r w:rsidR="00A21A6A" w:rsidRPr="00524A62">
              <w:rPr>
                <w:rFonts w:ascii="Calibri" w:eastAsia="Times New Roman" w:hAnsi="Calibri" w:cs="Calibri"/>
                <w:b/>
                <w:bCs/>
                <w:color w:val="000000"/>
                <w:lang w:val="en-US"/>
              </w:rPr>
              <w:t>technology_</w:t>
            </w:r>
            <w:r w:rsidRPr="00524A62">
              <w:rPr>
                <w:rFonts w:ascii="Calibri" w:eastAsia="Times New Roman" w:hAnsi="Calibri" w:cs="Calibri"/>
                <w:b/>
                <w:bCs/>
                <w:color w:val="000000"/>
                <w:lang w:val="en-US"/>
              </w:rPr>
              <w:t>requirement</w:t>
            </w:r>
          </w:p>
        </w:tc>
      </w:tr>
      <w:tr w:rsidR="00E340D6" w:rsidRPr="00524A62" w14:paraId="1B5645CF" w14:textId="77777777" w:rsidTr="001574B6">
        <w:trPr>
          <w:trHeight w:val="235"/>
        </w:trPr>
        <w:tc>
          <w:tcPr>
            <w:tcW w:w="2547" w:type="dxa"/>
            <w:noWrap/>
            <w:vAlign w:val="bottom"/>
            <w:hideMark/>
          </w:tcPr>
          <w:p w14:paraId="5F555994"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Remote Island Wind</w:t>
            </w:r>
          </w:p>
        </w:tc>
        <w:tc>
          <w:tcPr>
            <w:tcW w:w="2624" w:type="dxa"/>
            <w:noWrap/>
            <w:vAlign w:val="bottom"/>
            <w:hideMark/>
          </w:tcPr>
          <w:p w14:paraId="685A59E8"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wind</w:t>
            </w:r>
          </w:p>
        </w:tc>
        <w:tc>
          <w:tcPr>
            <w:tcW w:w="3086" w:type="dxa"/>
            <w:noWrap/>
            <w:vAlign w:val="bottom"/>
            <w:hideMark/>
          </w:tcPr>
          <w:p w14:paraId="6D3813A3"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remote island</w:t>
            </w:r>
          </w:p>
        </w:tc>
      </w:tr>
      <w:tr w:rsidR="00E340D6" w:rsidRPr="00524A62" w14:paraId="6C223A19" w14:textId="77777777" w:rsidTr="001574B6">
        <w:trPr>
          <w:trHeight w:val="235"/>
        </w:trPr>
        <w:tc>
          <w:tcPr>
            <w:tcW w:w="2547" w:type="dxa"/>
            <w:noWrap/>
            <w:vAlign w:val="bottom"/>
            <w:hideMark/>
          </w:tcPr>
          <w:p w14:paraId="57C0D7C3"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Onshore wind (repowered)</w:t>
            </w:r>
          </w:p>
        </w:tc>
        <w:tc>
          <w:tcPr>
            <w:tcW w:w="2624" w:type="dxa"/>
            <w:noWrap/>
            <w:vAlign w:val="bottom"/>
            <w:hideMark/>
          </w:tcPr>
          <w:p w14:paraId="1C222B35"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onshore wind</w:t>
            </w:r>
          </w:p>
        </w:tc>
        <w:tc>
          <w:tcPr>
            <w:tcW w:w="3086" w:type="dxa"/>
            <w:noWrap/>
            <w:vAlign w:val="bottom"/>
            <w:hideMark/>
          </w:tcPr>
          <w:p w14:paraId="65E06226"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repowered</w:t>
            </w:r>
          </w:p>
        </w:tc>
      </w:tr>
      <w:tr w:rsidR="00E340D6" w:rsidRPr="00524A62" w14:paraId="244962E7" w14:textId="77777777" w:rsidTr="001574B6">
        <w:trPr>
          <w:trHeight w:val="235"/>
        </w:trPr>
        <w:tc>
          <w:tcPr>
            <w:tcW w:w="2547" w:type="dxa"/>
            <w:noWrap/>
            <w:vAlign w:val="bottom"/>
            <w:hideMark/>
          </w:tcPr>
          <w:p w14:paraId="781BB94E"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Biomass with CHP</w:t>
            </w:r>
          </w:p>
        </w:tc>
        <w:tc>
          <w:tcPr>
            <w:tcW w:w="2624" w:type="dxa"/>
            <w:noWrap/>
            <w:vAlign w:val="bottom"/>
            <w:hideMark/>
          </w:tcPr>
          <w:p w14:paraId="5AA0D8A6"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bioenergy</w:t>
            </w:r>
          </w:p>
        </w:tc>
        <w:tc>
          <w:tcPr>
            <w:tcW w:w="3086" w:type="dxa"/>
            <w:noWrap/>
            <w:vAlign w:val="bottom"/>
            <w:hideMark/>
          </w:tcPr>
          <w:p w14:paraId="67A4471F"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with chp</w:t>
            </w:r>
          </w:p>
        </w:tc>
      </w:tr>
      <w:tr w:rsidR="00E340D6" w:rsidRPr="00524A62" w14:paraId="0F30BB11" w14:textId="77777777" w:rsidTr="001574B6">
        <w:trPr>
          <w:trHeight w:val="235"/>
        </w:trPr>
        <w:tc>
          <w:tcPr>
            <w:tcW w:w="2547" w:type="dxa"/>
            <w:noWrap/>
            <w:vAlign w:val="bottom"/>
            <w:hideMark/>
          </w:tcPr>
          <w:p w14:paraId="2E640E50"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Waste CHP</w:t>
            </w:r>
          </w:p>
        </w:tc>
        <w:tc>
          <w:tcPr>
            <w:tcW w:w="2624" w:type="dxa"/>
            <w:noWrap/>
            <w:vAlign w:val="bottom"/>
            <w:hideMark/>
          </w:tcPr>
          <w:p w14:paraId="4F85D719"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bioenergy</w:t>
            </w:r>
          </w:p>
        </w:tc>
        <w:tc>
          <w:tcPr>
            <w:tcW w:w="3086" w:type="dxa"/>
            <w:noWrap/>
            <w:vAlign w:val="bottom"/>
            <w:hideMark/>
          </w:tcPr>
          <w:p w14:paraId="5C99B139"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with chp</w:t>
            </w:r>
          </w:p>
        </w:tc>
      </w:tr>
      <w:tr w:rsidR="00E340D6" w:rsidRPr="00524A62" w14:paraId="7FCF6DDB" w14:textId="77777777" w:rsidTr="001574B6">
        <w:trPr>
          <w:trHeight w:val="235"/>
        </w:trPr>
        <w:tc>
          <w:tcPr>
            <w:tcW w:w="2547" w:type="dxa"/>
            <w:noWrap/>
            <w:vAlign w:val="bottom"/>
            <w:hideMark/>
          </w:tcPr>
          <w:p w14:paraId="5B85291B"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RES+storage</w:t>
            </w:r>
          </w:p>
        </w:tc>
        <w:tc>
          <w:tcPr>
            <w:tcW w:w="2624" w:type="dxa"/>
            <w:noWrap/>
            <w:vAlign w:val="bottom"/>
            <w:hideMark/>
          </w:tcPr>
          <w:p w14:paraId="1E86D7EA"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all renewable</w:t>
            </w:r>
          </w:p>
        </w:tc>
        <w:tc>
          <w:tcPr>
            <w:tcW w:w="3086" w:type="dxa"/>
            <w:noWrap/>
            <w:vAlign w:val="bottom"/>
            <w:hideMark/>
          </w:tcPr>
          <w:p w14:paraId="3615DD16"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with storage</w:t>
            </w:r>
          </w:p>
        </w:tc>
      </w:tr>
      <w:tr w:rsidR="00E340D6" w:rsidRPr="00524A62" w14:paraId="4380F7B0" w14:textId="77777777" w:rsidTr="001574B6">
        <w:trPr>
          <w:trHeight w:val="235"/>
        </w:trPr>
        <w:tc>
          <w:tcPr>
            <w:tcW w:w="2547" w:type="dxa"/>
            <w:noWrap/>
            <w:vAlign w:val="bottom"/>
            <w:hideMark/>
          </w:tcPr>
          <w:p w14:paraId="53B654BB"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PV+storage</w:t>
            </w:r>
          </w:p>
        </w:tc>
        <w:tc>
          <w:tcPr>
            <w:tcW w:w="2624" w:type="dxa"/>
            <w:noWrap/>
            <w:vAlign w:val="bottom"/>
            <w:hideMark/>
          </w:tcPr>
          <w:p w14:paraId="14DD729D"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pv</w:t>
            </w:r>
          </w:p>
        </w:tc>
        <w:tc>
          <w:tcPr>
            <w:tcW w:w="3086" w:type="dxa"/>
            <w:noWrap/>
            <w:vAlign w:val="bottom"/>
            <w:hideMark/>
          </w:tcPr>
          <w:p w14:paraId="0E829B00"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with storage</w:t>
            </w:r>
          </w:p>
        </w:tc>
      </w:tr>
      <w:tr w:rsidR="00E340D6" w:rsidRPr="00524A62" w14:paraId="666D4529" w14:textId="77777777" w:rsidTr="001574B6">
        <w:trPr>
          <w:trHeight w:val="235"/>
        </w:trPr>
        <w:tc>
          <w:tcPr>
            <w:tcW w:w="2547" w:type="dxa"/>
            <w:noWrap/>
            <w:vAlign w:val="bottom"/>
            <w:hideMark/>
          </w:tcPr>
          <w:p w14:paraId="45AAE69D"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Anaerobic Digestion</w:t>
            </w:r>
          </w:p>
        </w:tc>
        <w:tc>
          <w:tcPr>
            <w:tcW w:w="2624" w:type="dxa"/>
            <w:noWrap/>
            <w:vAlign w:val="bottom"/>
            <w:hideMark/>
          </w:tcPr>
          <w:p w14:paraId="485E0068"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bioenergy</w:t>
            </w:r>
          </w:p>
        </w:tc>
        <w:tc>
          <w:tcPr>
            <w:tcW w:w="3086" w:type="dxa"/>
            <w:noWrap/>
            <w:vAlign w:val="bottom"/>
            <w:hideMark/>
          </w:tcPr>
          <w:p w14:paraId="59427AC9"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2A6D0044" w14:textId="77777777" w:rsidTr="001574B6">
        <w:trPr>
          <w:trHeight w:val="235"/>
        </w:trPr>
        <w:tc>
          <w:tcPr>
            <w:tcW w:w="2547" w:type="dxa"/>
            <w:noWrap/>
            <w:vAlign w:val="bottom"/>
            <w:hideMark/>
          </w:tcPr>
          <w:p w14:paraId="0903356D"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Bioenergy</w:t>
            </w:r>
          </w:p>
        </w:tc>
        <w:tc>
          <w:tcPr>
            <w:tcW w:w="2624" w:type="dxa"/>
            <w:noWrap/>
            <w:vAlign w:val="bottom"/>
            <w:hideMark/>
          </w:tcPr>
          <w:p w14:paraId="5B254FEB"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bioenergy</w:t>
            </w:r>
          </w:p>
        </w:tc>
        <w:tc>
          <w:tcPr>
            <w:tcW w:w="3086" w:type="dxa"/>
            <w:noWrap/>
            <w:vAlign w:val="bottom"/>
            <w:hideMark/>
          </w:tcPr>
          <w:p w14:paraId="4177C27D"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7ED84025" w14:textId="77777777" w:rsidTr="001574B6">
        <w:trPr>
          <w:trHeight w:val="235"/>
        </w:trPr>
        <w:tc>
          <w:tcPr>
            <w:tcW w:w="2547" w:type="dxa"/>
            <w:noWrap/>
            <w:vAlign w:val="bottom"/>
            <w:hideMark/>
          </w:tcPr>
          <w:p w14:paraId="32AFF5CA"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Biogas</w:t>
            </w:r>
          </w:p>
        </w:tc>
        <w:tc>
          <w:tcPr>
            <w:tcW w:w="2624" w:type="dxa"/>
            <w:noWrap/>
            <w:vAlign w:val="bottom"/>
            <w:hideMark/>
          </w:tcPr>
          <w:p w14:paraId="23750BFE"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bioenergy</w:t>
            </w:r>
          </w:p>
        </w:tc>
        <w:tc>
          <w:tcPr>
            <w:tcW w:w="3086" w:type="dxa"/>
            <w:noWrap/>
            <w:vAlign w:val="bottom"/>
            <w:hideMark/>
          </w:tcPr>
          <w:p w14:paraId="5C59DF4C"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02B8A7E5" w14:textId="77777777" w:rsidTr="001574B6">
        <w:trPr>
          <w:trHeight w:val="235"/>
        </w:trPr>
        <w:tc>
          <w:tcPr>
            <w:tcW w:w="2547" w:type="dxa"/>
            <w:noWrap/>
            <w:vAlign w:val="bottom"/>
            <w:hideMark/>
          </w:tcPr>
          <w:p w14:paraId="4921CDF7"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Bioliquid</w:t>
            </w:r>
          </w:p>
        </w:tc>
        <w:tc>
          <w:tcPr>
            <w:tcW w:w="2624" w:type="dxa"/>
            <w:noWrap/>
            <w:vAlign w:val="bottom"/>
            <w:hideMark/>
          </w:tcPr>
          <w:p w14:paraId="30E766C1"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bioenergy</w:t>
            </w:r>
          </w:p>
        </w:tc>
        <w:tc>
          <w:tcPr>
            <w:tcW w:w="3086" w:type="dxa"/>
            <w:noWrap/>
            <w:vAlign w:val="bottom"/>
            <w:hideMark/>
          </w:tcPr>
          <w:p w14:paraId="385DD4C7"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178F7CAD" w14:textId="77777777" w:rsidTr="001574B6">
        <w:trPr>
          <w:trHeight w:val="235"/>
        </w:trPr>
        <w:tc>
          <w:tcPr>
            <w:tcW w:w="2547" w:type="dxa"/>
            <w:noWrap/>
            <w:vAlign w:val="bottom"/>
            <w:hideMark/>
          </w:tcPr>
          <w:p w14:paraId="010DA841"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Biomass</w:t>
            </w:r>
          </w:p>
        </w:tc>
        <w:tc>
          <w:tcPr>
            <w:tcW w:w="2624" w:type="dxa"/>
            <w:noWrap/>
            <w:vAlign w:val="bottom"/>
            <w:hideMark/>
          </w:tcPr>
          <w:p w14:paraId="03FC719A"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bioenergy</w:t>
            </w:r>
          </w:p>
        </w:tc>
        <w:tc>
          <w:tcPr>
            <w:tcW w:w="3086" w:type="dxa"/>
            <w:noWrap/>
            <w:vAlign w:val="bottom"/>
            <w:hideMark/>
          </w:tcPr>
          <w:p w14:paraId="069EDCF6"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0FCAF66F" w14:textId="77777777" w:rsidTr="001574B6">
        <w:trPr>
          <w:trHeight w:val="235"/>
        </w:trPr>
        <w:tc>
          <w:tcPr>
            <w:tcW w:w="2547" w:type="dxa"/>
            <w:noWrap/>
            <w:vAlign w:val="bottom"/>
            <w:hideMark/>
          </w:tcPr>
          <w:p w14:paraId="76AEC46E"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Waste</w:t>
            </w:r>
          </w:p>
        </w:tc>
        <w:tc>
          <w:tcPr>
            <w:tcW w:w="2624" w:type="dxa"/>
            <w:noWrap/>
            <w:vAlign w:val="bottom"/>
            <w:hideMark/>
          </w:tcPr>
          <w:p w14:paraId="29B29C37"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bioenergy</w:t>
            </w:r>
          </w:p>
        </w:tc>
        <w:tc>
          <w:tcPr>
            <w:tcW w:w="3086" w:type="dxa"/>
            <w:noWrap/>
            <w:vAlign w:val="bottom"/>
            <w:hideMark/>
          </w:tcPr>
          <w:p w14:paraId="441FB762"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3B04D3B1" w14:textId="77777777" w:rsidTr="001574B6">
        <w:trPr>
          <w:trHeight w:val="235"/>
        </w:trPr>
        <w:tc>
          <w:tcPr>
            <w:tcW w:w="2547" w:type="dxa"/>
            <w:noWrap/>
            <w:vAlign w:val="bottom"/>
            <w:hideMark/>
          </w:tcPr>
          <w:p w14:paraId="785CACE7"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Solar Thermal</w:t>
            </w:r>
          </w:p>
        </w:tc>
        <w:tc>
          <w:tcPr>
            <w:tcW w:w="2624" w:type="dxa"/>
            <w:noWrap/>
            <w:vAlign w:val="bottom"/>
            <w:hideMark/>
          </w:tcPr>
          <w:p w14:paraId="16621D0C"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csp</w:t>
            </w:r>
          </w:p>
        </w:tc>
        <w:tc>
          <w:tcPr>
            <w:tcW w:w="3086" w:type="dxa"/>
            <w:noWrap/>
            <w:vAlign w:val="bottom"/>
            <w:hideMark/>
          </w:tcPr>
          <w:p w14:paraId="4D01040A"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27B1911D" w14:textId="77777777" w:rsidTr="001574B6">
        <w:trPr>
          <w:trHeight w:val="235"/>
        </w:trPr>
        <w:tc>
          <w:tcPr>
            <w:tcW w:w="2547" w:type="dxa"/>
            <w:noWrap/>
            <w:vAlign w:val="bottom"/>
            <w:hideMark/>
          </w:tcPr>
          <w:p w14:paraId="433A01E5"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all renewables</w:t>
            </w:r>
          </w:p>
        </w:tc>
        <w:tc>
          <w:tcPr>
            <w:tcW w:w="2624" w:type="dxa"/>
            <w:noWrap/>
            <w:vAlign w:val="bottom"/>
            <w:hideMark/>
          </w:tcPr>
          <w:p w14:paraId="23678ACE"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KEEP AS IS</w:t>
            </w:r>
          </w:p>
        </w:tc>
        <w:tc>
          <w:tcPr>
            <w:tcW w:w="3086" w:type="dxa"/>
            <w:noWrap/>
            <w:vAlign w:val="bottom"/>
            <w:hideMark/>
          </w:tcPr>
          <w:p w14:paraId="5644C7CB"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159D96BF" w14:textId="77777777" w:rsidTr="001574B6">
        <w:trPr>
          <w:trHeight w:val="235"/>
        </w:trPr>
        <w:tc>
          <w:tcPr>
            <w:tcW w:w="2547" w:type="dxa"/>
            <w:noWrap/>
            <w:vAlign w:val="bottom"/>
            <w:hideMark/>
          </w:tcPr>
          <w:p w14:paraId="6218BB42"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lastRenderedPageBreak/>
              <w:t>Offshore wind</w:t>
            </w:r>
          </w:p>
        </w:tc>
        <w:tc>
          <w:tcPr>
            <w:tcW w:w="2624" w:type="dxa"/>
            <w:noWrap/>
            <w:vAlign w:val="bottom"/>
            <w:hideMark/>
          </w:tcPr>
          <w:p w14:paraId="69D4B5E1"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KEEP AS IS</w:t>
            </w:r>
          </w:p>
        </w:tc>
        <w:tc>
          <w:tcPr>
            <w:tcW w:w="3086" w:type="dxa"/>
            <w:noWrap/>
            <w:vAlign w:val="bottom"/>
            <w:hideMark/>
          </w:tcPr>
          <w:p w14:paraId="20526FF4"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4F658B58" w14:textId="77777777" w:rsidTr="001574B6">
        <w:trPr>
          <w:trHeight w:val="235"/>
        </w:trPr>
        <w:tc>
          <w:tcPr>
            <w:tcW w:w="2547" w:type="dxa"/>
            <w:noWrap/>
            <w:vAlign w:val="bottom"/>
            <w:hideMark/>
          </w:tcPr>
          <w:p w14:paraId="59ACCC37"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Onshore wind</w:t>
            </w:r>
          </w:p>
        </w:tc>
        <w:tc>
          <w:tcPr>
            <w:tcW w:w="2624" w:type="dxa"/>
            <w:noWrap/>
            <w:vAlign w:val="bottom"/>
            <w:hideMark/>
          </w:tcPr>
          <w:p w14:paraId="552347F9"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KEEP AS IS</w:t>
            </w:r>
          </w:p>
        </w:tc>
        <w:tc>
          <w:tcPr>
            <w:tcW w:w="3086" w:type="dxa"/>
            <w:noWrap/>
            <w:vAlign w:val="bottom"/>
            <w:hideMark/>
          </w:tcPr>
          <w:p w14:paraId="458D0E2C"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2F45A14E" w14:textId="77777777" w:rsidTr="001574B6">
        <w:trPr>
          <w:trHeight w:val="235"/>
        </w:trPr>
        <w:tc>
          <w:tcPr>
            <w:tcW w:w="2547" w:type="dxa"/>
            <w:noWrap/>
            <w:vAlign w:val="bottom"/>
            <w:hideMark/>
          </w:tcPr>
          <w:p w14:paraId="059F9540"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Other</w:t>
            </w:r>
          </w:p>
        </w:tc>
        <w:tc>
          <w:tcPr>
            <w:tcW w:w="2624" w:type="dxa"/>
            <w:noWrap/>
            <w:vAlign w:val="bottom"/>
            <w:hideMark/>
          </w:tcPr>
          <w:p w14:paraId="562D6967"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KEEP AS IS</w:t>
            </w:r>
          </w:p>
        </w:tc>
        <w:tc>
          <w:tcPr>
            <w:tcW w:w="3086" w:type="dxa"/>
            <w:noWrap/>
            <w:vAlign w:val="bottom"/>
            <w:hideMark/>
          </w:tcPr>
          <w:p w14:paraId="27317441"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45E8689F" w14:textId="77777777" w:rsidTr="001574B6">
        <w:trPr>
          <w:trHeight w:val="235"/>
        </w:trPr>
        <w:tc>
          <w:tcPr>
            <w:tcW w:w="2547" w:type="dxa"/>
            <w:noWrap/>
            <w:vAlign w:val="bottom"/>
            <w:hideMark/>
          </w:tcPr>
          <w:p w14:paraId="1D49EFF3"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PV</w:t>
            </w:r>
          </w:p>
        </w:tc>
        <w:tc>
          <w:tcPr>
            <w:tcW w:w="2624" w:type="dxa"/>
            <w:noWrap/>
            <w:vAlign w:val="bottom"/>
            <w:hideMark/>
          </w:tcPr>
          <w:p w14:paraId="3887031C"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KEEP AS IS</w:t>
            </w:r>
          </w:p>
        </w:tc>
        <w:tc>
          <w:tcPr>
            <w:tcW w:w="3086" w:type="dxa"/>
            <w:noWrap/>
            <w:vAlign w:val="bottom"/>
            <w:hideMark/>
          </w:tcPr>
          <w:p w14:paraId="2E8F2E1A"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7FBE4ECB" w14:textId="77777777" w:rsidTr="001574B6">
        <w:trPr>
          <w:trHeight w:val="235"/>
        </w:trPr>
        <w:tc>
          <w:tcPr>
            <w:tcW w:w="2547" w:type="dxa"/>
            <w:noWrap/>
            <w:vAlign w:val="bottom"/>
            <w:hideMark/>
          </w:tcPr>
          <w:p w14:paraId="0002790D"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Wind onshore</w:t>
            </w:r>
          </w:p>
        </w:tc>
        <w:tc>
          <w:tcPr>
            <w:tcW w:w="2624" w:type="dxa"/>
            <w:noWrap/>
            <w:vAlign w:val="bottom"/>
            <w:hideMark/>
          </w:tcPr>
          <w:p w14:paraId="79EAA0AA"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KEEP AS IS</w:t>
            </w:r>
          </w:p>
        </w:tc>
        <w:tc>
          <w:tcPr>
            <w:tcW w:w="3086" w:type="dxa"/>
            <w:noWrap/>
            <w:vAlign w:val="bottom"/>
            <w:hideMark/>
          </w:tcPr>
          <w:p w14:paraId="39229BC3"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3707E28C" w14:textId="77777777" w:rsidTr="001574B6">
        <w:trPr>
          <w:trHeight w:val="235"/>
        </w:trPr>
        <w:tc>
          <w:tcPr>
            <w:tcW w:w="2547" w:type="dxa"/>
            <w:noWrap/>
            <w:vAlign w:val="bottom"/>
            <w:hideMark/>
          </w:tcPr>
          <w:p w14:paraId="42E1C279"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technology neutral</w:t>
            </w:r>
          </w:p>
        </w:tc>
        <w:tc>
          <w:tcPr>
            <w:tcW w:w="2624" w:type="dxa"/>
            <w:noWrap/>
            <w:vAlign w:val="bottom"/>
            <w:hideMark/>
          </w:tcPr>
          <w:p w14:paraId="69EE7831"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multiple</w:t>
            </w:r>
          </w:p>
        </w:tc>
        <w:tc>
          <w:tcPr>
            <w:tcW w:w="3086" w:type="dxa"/>
            <w:noWrap/>
            <w:vAlign w:val="bottom"/>
            <w:hideMark/>
          </w:tcPr>
          <w:p w14:paraId="7C85E0A4"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6CB29E4F" w14:textId="77777777" w:rsidTr="001574B6">
        <w:trPr>
          <w:trHeight w:val="235"/>
        </w:trPr>
        <w:tc>
          <w:tcPr>
            <w:tcW w:w="2547" w:type="dxa"/>
            <w:noWrap/>
            <w:vAlign w:val="bottom"/>
            <w:hideMark/>
          </w:tcPr>
          <w:p w14:paraId="448AEF26"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Advanced conversion</w:t>
            </w:r>
          </w:p>
        </w:tc>
        <w:tc>
          <w:tcPr>
            <w:tcW w:w="2624" w:type="dxa"/>
            <w:noWrap/>
            <w:vAlign w:val="bottom"/>
            <w:hideMark/>
          </w:tcPr>
          <w:p w14:paraId="210559ED"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REMOVED</w:t>
            </w:r>
          </w:p>
        </w:tc>
        <w:tc>
          <w:tcPr>
            <w:tcW w:w="3086" w:type="dxa"/>
            <w:noWrap/>
            <w:vAlign w:val="bottom"/>
            <w:hideMark/>
          </w:tcPr>
          <w:p w14:paraId="655799C2"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0E237686" w14:textId="77777777" w:rsidTr="001574B6">
        <w:trPr>
          <w:trHeight w:val="235"/>
        </w:trPr>
        <w:tc>
          <w:tcPr>
            <w:tcW w:w="2547" w:type="dxa"/>
            <w:noWrap/>
            <w:vAlign w:val="bottom"/>
            <w:hideMark/>
          </w:tcPr>
          <w:p w14:paraId="1B70400D"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CHP</w:t>
            </w:r>
          </w:p>
        </w:tc>
        <w:tc>
          <w:tcPr>
            <w:tcW w:w="2624" w:type="dxa"/>
            <w:noWrap/>
            <w:vAlign w:val="bottom"/>
            <w:hideMark/>
          </w:tcPr>
          <w:p w14:paraId="3C55F63C"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REMOVED</w:t>
            </w:r>
          </w:p>
        </w:tc>
        <w:tc>
          <w:tcPr>
            <w:tcW w:w="3086" w:type="dxa"/>
            <w:noWrap/>
            <w:vAlign w:val="bottom"/>
            <w:hideMark/>
          </w:tcPr>
          <w:p w14:paraId="48D42886"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7B179FC7" w14:textId="77777777" w:rsidTr="001574B6">
        <w:trPr>
          <w:trHeight w:val="235"/>
        </w:trPr>
        <w:tc>
          <w:tcPr>
            <w:tcW w:w="2547" w:type="dxa"/>
            <w:noWrap/>
            <w:vAlign w:val="bottom"/>
            <w:hideMark/>
          </w:tcPr>
          <w:p w14:paraId="01869DFE"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Geothermal</w:t>
            </w:r>
          </w:p>
        </w:tc>
        <w:tc>
          <w:tcPr>
            <w:tcW w:w="2624" w:type="dxa"/>
            <w:noWrap/>
            <w:vAlign w:val="bottom"/>
            <w:hideMark/>
          </w:tcPr>
          <w:p w14:paraId="2467CC4D"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REMOVED</w:t>
            </w:r>
          </w:p>
        </w:tc>
        <w:tc>
          <w:tcPr>
            <w:tcW w:w="3086" w:type="dxa"/>
            <w:noWrap/>
            <w:vAlign w:val="bottom"/>
            <w:hideMark/>
          </w:tcPr>
          <w:p w14:paraId="3D157433"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2539A518" w14:textId="77777777" w:rsidTr="001574B6">
        <w:trPr>
          <w:trHeight w:val="235"/>
        </w:trPr>
        <w:tc>
          <w:tcPr>
            <w:tcW w:w="2547" w:type="dxa"/>
            <w:noWrap/>
            <w:vAlign w:val="bottom"/>
            <w:hideMark/>
          </w:tcPr>
          <w:p w14:paraId="54599652"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Hydropower</w:t>
            </w:r>
          </w:p>
        </w:tc>
        <w:tc>
          <w:tcPr>
            <w:tcW w:w="2624" w:type="dxa"/>
            <w:noWrap/>
            <w:vAlign w:val="bottom"/>
            <w:hideMark/>
          </w:tcPr>
          <w:p w14:paraId="0BE8998A"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REMOVED</w:t>
            </w:r>
          </w:p>
        </w:tc>
        <w:tc>
          <w:tcPr>
            <w:tcW w:w="3086" w:type="dxa"/>
            <w:noWrap/>
            <w:vAlign w:val="bottom"/>
            <w:hideMark/>
          </w:tcPr>
          <w:p w14:paraId="7556FD20"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340DE07E" w14:textId="77777777" w:rsidTr="001574B6">
        <w:trPr>
          <w:trHeight w:val="235"/>
        </w:trPr>
        <w:tc>
          <w:tcPr>
            <w:tcW w:w="2547" w:type="dxa"/>
            <w:noWrap/>
            <w:vAlign w:val="bottom"/>
            <w:hideMark/>
          </w:tcPr>
          <w:p w14:paraId="2F7F55EC"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Hydropower (repowered)</w:t>
            </w:r>
          </w:p>
        </w:tc>
        <w:tc>
          <w:tcPr>
            <w:tcW w:w="2624" w:type="dxa"/>
            <w:noWrap/>
            <w:vAlign w:val="bottom"/>
            <w:hideMark/>
          </w:tcPr>
          <w:p w14:paraId="43100E29"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REMOVED</w:t>
            </w:r>
          </w:p>
        </w:tc>
        <w:tc>
          <w:tcPr>
            <w:tcW w:w="3086" w:type="dxa"/>
            <w:noWrap/>
            <w:vAlign w:val="bottom"/>
            <w:hideMark/>
          </w:tcPr>
          <w:p w14:paraId="59FC030D"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60778921" w14:textId="77777777" w:rsidTr="001574B6">
        <w:trPr>
          <w:trHeight w:val="235"/>
        </w:trPr>
        <w:tc>
          <w:tcPr>
            <w:tcW w:w="2547" w:type="dxa"/>
            <w:noWrap/>
            <w:vAlign w:val="bottom"/>
            <w:hideMark/>
          </w:tcPr>
          <w:p w14:paraId="136A024A"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Tidal stream</w:t>
            </w:r>
          </w:p>
        </w:tc>
        <w:tc>
          <w:tcPr>
            <w:tcW w:w="2624" w:type="dxa"/>
            <w:noWrap/>
            <w:vAlign w:val="bottom"/>
            <w:hideMark/>
          </w:tcPr>
          <w:p w14:paraId="64E6936B"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REMOVED</w:t>
            </w:r>
          </w:p>
        </w:tc>
        <w:tc>
          <w:tcPr>
            <w:tcW w:w="3086" w:type="dxa"/>
            <w:noWrap/>
            <w:vAlign w:val="bottom"/>
            <w:hideMark/>
          </w:tcPr>
          <w:p w14:paraId="7CB25519" w14:textId="77777777" w:rsidR="00E340D6" w:rsidRPr="00524A62" w:rsidRDefault="00E340D6" w:rsidP="001574B6">
            <w:pPr>
              <w:spacing w:after="0" w:line="240" w:lineRule="auto"/>
              <w:rPr>
                <w:rFonts w:ascii="Calibri" w:eastAsia="Times New Roman" w:hAnsi="Calibri" w:cs="Calibri"/>
                <w:color w:val="000000"/>
                <w:lang w:val="en-US"/>
              </w:rPr>
            </w:pPr>
          </w:p>
        </w:tc>
      </w:tr>
      <w:tr w:rsidR="00E340D6" w:rsidRPr="00524A62" w14:paraId="0F9034AF" w14:textId="77777777" w:rsidTr="001574B6">
        <w:trPr>
          <w:trHeight w:val="235"/>
        </w:trPr>
        <w:tc>
          <w:tcPr>
            <w:tcW w:w="2547" w:type="dxa"/>
            <w:noWrap/>
            <w:vAlign w:val="bottom"/>
            <w:hideMark/>
          </w:tcPr>
          <w:p w14:paraId="64D4AA4D"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Wave</w:t>
            </w:r>
          </w:p>
        </w:tc>
        <w:tc>
          <w:tcPr>
            <w:tcW w:w="2624" w:type="dxa"/>
            <w:noWrap/>
            <w:vAlign w:val="bottom"/>
            <w:hideMark/>
          </w:tcPr>
          <w:p w14:paraId="4D963AB7" w14:textId="77777777" w:rsidR="00E340D6" w:rsidRPr="00524A62" w:rsidRDefault="00E340D6" w:rsidP="001574B6">
            <w:pPr>
              <w:spacing w:after="0" w:line="240" w:lineRule="auto"/>
              <w:rPr>
                <w:rFonts w:ascii="Calibri" w:eastAsia="Times New Roman" w:hAnsi="Calibri" w:cs="Calibri"/>
                <w:color w:val="000000"/>
                <w:lang w:val="en-US"/>
              </w:rPr>
            </w:pPr>
            <w:r w:rsidRPr="00524A62">
              <w:rPr>
                <w:rFonts w:ascii="Calibri" w:eastAsia="Times New Roman" w:hAnsi="Calibri" w:cs="Calibri"/>
                <w:color w:val="000000"/>
                <w:lang w:val="en-US"/>
              </w:rPr>
              <w:t>REMOVED</w:t>
            </w:r>
          </w:p>
        </w:tc>
        <w:tc>
          <w:tcPr>
            <w:tcW w:w="3086" w:type="dxa"/>
            <w:noWrap/>
            <w:vAlign w:val="bottom"/>
            <w:hideMark/>
          </w:tcPr>
          <w:p w14:paraId="17576A28" w14:textId="77777777" w:rsidR="00E340D6" w:rsidRPr="00524A62" w:rsidRDefault="00E340D6" w:rsidP="001574B6">
            <w:pPr>
              <w:spacing w:after="0" w:line="240" w:lineRule="auto"/>
              <w:rPr>
                <w:rFonts w:ascii="Calibri" w:eastAsia="Times New Roman" w:hAnsi="Calibri" w:cs="Calibri"/>
                <w:color w:val="000000"/>
                <w:lang w:val="en-US"/>
              </w:rPr>
            </w:pPr>
          </w:p>
        </w:tc>
      </w:tr>
    </w:tbl>
    <w:p w14:paraId="4F5C9843" w14:textId="77777777" w:rsidR="00B8421C" w:rsidRPr="00524A62" w:rsidRDefault="00B8421C" w:rsidP="00B8421C">
      <w:pPr>
        <w:rPr>
          <w:lang w:val="en-US" w:eastAsia="en-IN"/>
        </w:rPr>
      </w:pPr>
    </w:p>
    <w:p w14:paraId="03F1F157" w14:textId="1812B000" w:rsidR="0049018D" w:rsidRPr="00524A62" w:rsidRDefault="0049018D" w:rsidP="0043624F">
      <w:pPr>
        <w:pStyle w:val="Heading1"/>
        <w:rPr>
          <w:lang w:val="en-US" w:eastAsia="en-IN"/>
        </w:rPr>
      </w:pPr>
      <w:bookmarkStart w:id="41" w:name="_Toc219972889"/>
      <w:r w:rsidRPr="00524A62">
        <w:rPr>
          <w:lang w:val="en-US" w:eastAsia="en-IN"/>
        </w:rPr>
        <w:t xml:space="preserve">Annex 2: </w:t>
      </w:r>
      <w:r w:rsidR="001F6EA0" w:rsidRPr="00524A62">
        <w:rPr>
          <w:lang w:val="en-US" w:eastAsia="en-IN"/>
        </w:rPr>
        <w:t>C</w:t>
      </w:r>
      <w:r w:rsidRPr="00524A62">
        <w:rPr>
          <w:lang w:val="en-US" w:eastAsia="en-IN"/>
        </w:rPr>
        <w:t xml:space="preserve">olumn names and </w:t>
      </w:r>
      <w:r w:rsidRPr="00524A62">
        <w:rPr>
          <w:lang w:val="en-US"/>
        </w:rPr>
        <w:t>definitions</w:t>
      </w:r>
      <w:r w:rsidRPr="00524A62">
        <w:rPr>
          <w:lang w:val="en-US" w:eastAsia="en-IN"/>
        </w:rPr>
        <w:t xml:space="preserve"> for the renewable energy policy support dataset</w:t>
      </w:r>
      <w:bookmarkEnd w:id="41"/>
    </w:p>
    <w:p w14:paraId="73C44236" w14:textId="77777777" w:rsidR="0049018D" w:rsidRPr="00524A62" w:rsidRDefault="0049018D" w:rsidP="0049018D">
      <w:pPr>
        <w:rPr>
          <w:rFonts w:cstheme="minorHAnsi"/>
          <w:lang w:val="en-US" w:eastAsia="en-IN"/>
        </w:rPr>
      </w:pPr>
    </w:p>
    <w:tbl>
      <w:tblPr>
        <w:tblStyle w:val="TableGrid"/>
        <w:tblW w:w="9896" w:type="dxa"/>
        <w:tblLook w:val="04A0" w:firstRow="1" w:lastRow="0" w:firstColumn="1" w:lastColumn="0" w:noHBand="0" w:noVBand="1"/>
      </w:tblPr>
      <w:tblGrid>
        <w:gridCol w:w="3175"/>
        <w:gridCol w:w="3210"/>
        <w:gridCol w:w="3511"/>
      </w:tblGrid>
      <w:tr w:rsidR="0049018D" w:rsidRPr="00524A62" w14:paraId="18D150FE" w14:textId="77777777" w:rsidTr="00AF740C">
        <w:trPr>
          <w:trHeight w:val="280"/>
        </w:trPr>
        <w:tc>
          <w:tcPr>
            <w:tcW w:w="2425" w:type="dxa"/>
            <w:noWrap/>
            <w:hideMark/>
          </w:tcPr>
          <w:p w14:paraId="4B2D06E1" w14:textId="77777777" w:rsidR="0049018D" w:rsidRPr="00524A62" w:rsidRDefault="0049018D" w:rsidP="0005606D">
            <w:pPr>
              <w:rPr>
                <w:rFonts w:cstheme="minorHAnsi"/>
                <w:b/>
                <w:bCs/>
                <w:lang w:val="en-US" w:eastAsia="en-IN"/>
              </w:rPr>
            </w:pPr>
            <w:r w:rsidRPr="00524A62">
              <w:rPr>
                <w:rFonts w:cstheme="minorHAnsi"/>
                <w:b/>
                <w:bCs/>
                <w:lang w:val="en-US" w:eastAsia="en-IN"/>
              </w:rPr>
              <w:t>Column</w:t>
            </w:r>
          </w:p>
        </w:tc>
        <w:tc>
          <w:tcPr>
            <w:tcW w:w="3960" w:type="dxa"/>
          </w:tcPr>
          <w:p w14:paraId="196DC9EC" w14:textId="77777777" w:rsidR="0049018D" w:rsidRPr="00524A62" w:rsidRDefault="0049018D" w:rsidP="0005606D">
            <w:pPr>
              <w:rPr>
                <w:rFonts w:cstheme="minorHAnsi"/>
                <w:b/>
                <w:bCs/>
                <w:lang w:val="en-US" w:eastAsia="en-IN"/>
              </w:rPr>
            </w:pPr>
            <w:r w:rsidRPr="00524A62">
              <w:rPr>
                <w:rFonts w:cstheme="minorHAnsi"/>
                <w:b/>
                <w:bCs/>
                <w:lang w:val="en-US" w:eastAsia="en-IN"/>
              </w:rPr>
              <w:t>Short definition</w:t>
            </w:r>
          </w:p>
        </w:tc>
        <w:tc>
          <w:tcPr>
            <w:tcW w:w="3511" w:type="dxa"/>
            <w:noWrap/>
            <w:hideMark/>
          </w:tcPr>
          <w:p w14:paraId="23E81098" w14:textId="77777777" w:rsidR="0049018D" w:rsidRPr="00524A62" w:rsidRDefault="0049018D" w:rsidP="0005606D">
            <w:pPr>
              <w:rPr>
                <w:rFonts w:cstheme="minorHAnsi"/>
                <w:b/>
                <w:bCs/>
                <w:lang w:val="en-US" w:eastAsia="en-IN"/>
              </w:rPr>
            </w:pPr>
            <w:r w:rsidRPr="00524A62">
              <w:rPr>
                <w:rFonts w:cstheme="minorHAnsi"/>
                <w:b/>
                <w:bCs/>
                <w:lang w:val="en-US" w:eastAsia="en-IN"/>
              </w:rPr>
              <w:t>Unique_Values</w:t>
            </w:r>
          </w:p>
        </w:tc>
      </w:tr>
      <w:tr w:rsidR="00EB7A54" w:rsidRPr="008D4356" w14:paraId="59A40433" w14:textId="77777777" w:rsidTr="00AF740C">
        <w:trPr>
          <w:trHeight w:val="280"/>
        </w:trPr>
        <w:tc>
          <w:tcPr>
            <w:tcW w:w="2425" w:type="dxa"/>
            <w:noWrap/>
          </w:tcPr>
          <w:p w14:paraId="5DB09978" w14:textId="719A51B8" w:rsidR="00EB7A54" w:rsidRPr="00524A62" w:rsidRDefault="00E67B50" w:rsidP="0005606D">
            <w:pPr>
              <w:rPr>
                <w:rFonts w:cstheme="minorHAnsi"/>
                <w:lang w:val="en-US" w:eastAsia="en-IN"/>
              </w:rPr>
            </w:pPr>
            <w:r w:rsidRPr="00524A62">
              <w:rPr>
                <w:rFonts w:cstheme="minorHAnsi"/>
                <w:lang w:val="en-US" w:eastAsia="en-IN"/>
              </w:rPr>
              <w:t>A</w:t>
            </w:r>
            <w:r w:rsidR="00EB7A54" w:rsidRPr="00524A62">
              <w:rPr>
                <w:rFonts w:cstheme="minorHAnsi"/>
                <w:lang w:val="en-US" w:eastAsia="en-IN"/>
              </w:rPr>
              <w:t>ctor</w:t>
            </w:r>
          </w:p>
        </w:tc>
        <w:tc>
          <w:tcPr>
            <w:tcW w:w="3960" w:type="dxa"/>
          </w:tcPr>
          <w:p w14:paraId="5AFC71D9" w14:textId="75B9F179" w:rsidR="00EB7A54" w:rsidRPr="00524A62" w:rsidRDefault="00EB7A54" w:rsidP="0005606D">
            <w:pPr>
              <w:rPr>
                <w:rFonts w:cstheme="minorHAnsi"/>
                <w:lang w:val="en-US" w:eastAsia="en-IN"/>
              </w:rPr>
            </w:pPr>
            <w:r w:rsidRPr="00524A62">
              <w:rPr>
                <w:lang w:val="en-US"/>
              </w:rPr>
              <w:t>the actor for whom this policy applies</w:t>
            </w:r>
          </w:p>
        </w:tc>
        <w:tc>
          <w:tcPr>
            <w:tcW w:w="3511" w:type="dxa"/>
            <w:noWrap/>
          </w:tcPr>
          <w:p w14:paraId="21A88932" w14:textId="31C58DBC" w:rsidR="00EB7A54" w:rsidRPr="00524A62" w:rsidRDefault="00E30A9B" w:rsidP="00C52A16">
            <w:pPr>
              <w:rPr>
                <w:rFonts w:cstheme="minorHAnsi"/>
                <w:lang w:val="en-US" w:eastAsia="en-IN"/>
              </w:rPr>
            </w:pPr>
            <w:r w:rsidRPr="00524A62">
              <w:rPr>
                <w:lang w:val="en-US"/>
              </w:rPr>
              <w:t xml:space="preserve">SMEs, households, vulnerable households… </w:t>
            </w:r>
            <w:r w:rsidR="000664E2" w:rsidRPr="00524A62">
              <w:rPr>
                <w:lang w:val="en-US"/>
              </w:rPr>
              <w:t>(see dataset)</w:t>
            </w:r>
          </w:p>
        </w:tc>
      </w:tr>
      <w:tr w:rsidR="00D6032E" w:rsidRPr="00524A62" w14:paraId="197A1416" w14:textId="77777777" w:rsidTr="00AF740C">
        <w:trPr>
          <w:trHeight w:val="280"/>
        </w:trPr>
        <w:tc>
          <w:tcPr>
            <w:tcW w:w="2425" w:type="dxa"/>
            <w:noWrap/>
          </w:tcPr>
          <w:p w14:paraId="478C375F" w14:textId="5DD714EE" w:rsidR="00D6032E" w:rsidRPr="00524A62" w:rsidRDefault="00D6032E" w:rsidP="0005606D">
            <w:pPr>
              <w:rPr>
                <w:rFonts w:cstheme="minorHAnsi"/>
                <w:lang w:val="en-US" w:eastAsia="en-IN"/>
              </w:rPr>
            </w:pPr>
            <w:r w:rsidRPr="00524A62">
              <w:rPr>
                <w:rFonts w:cstheme="minorHAnsi"/>
                <w:lang w:val="en-US" w:eastAsia="en-IN"/>
              </w:rPr>
              <w:t>AURESII_id</w:t>
            </w:r>
          </w:p>
        </w:tc>
        <w:tc>
          <w:tcPr>
            <w:tcW w:w="3960" w:type="dxa"/>
          </w:tcPr>
          <w:p w14:paraId="69350C2E" w14:textId="42E74E62" w:rsidR="00D6032E" w:rsidRPr="00524A62" w:rsidRDefault="00D6032E" w:rsidP="0005606D">
            <w:pPr>
              <w:rPr>
                <w:lang w:val="en-US"/>
              </w:rPr>
            </w:pPr>
            <w:r w:rsidRPr="00524A62">
              <w:rPr>
                <w:rFonts w:cstheme="minorHAnsi"/>
                <w:color w:val="000000"/>
                <w:lang w:val="en-US"/>
              </w:rPr>
              <w:t>The ID from the AURES II database corresponding with this observation</w:t>
            </w:r>
          </w:p>
        </w:tc>
        <w:tc>
          <w:tcPr>
            <w:tcW w:w="3511" w:type="dxa"/>
            <w:noWrap/>
          </w:tcPr>
          <w:p w14:paraId="3321244B" w14:textId="772C9A7C" w:rsidR="00D6032E" w:rsidRPr="00524A62" w:rsidRDefault="00FA4269" w:rsidP="00C52A16">
            <w:pPr>
              <w:rPr>
                <w:lang w:val="en-US"/>
              </w:rPr>
            </w:pPr>
            <w:r w:rsidRPr="00524A62">
              <w:rPr>
                <w:lang w:val="en-US"/>
              </w:rPr>
              <w:t>(see dataset)</w:t>
            </w:r>
          </w:p>
        </w:tc>
      </w:tr>
      <w:tr w:rsidR="000D08CB" w:rsidRPr="00524A62" w14:paraId="24469304" w14:textId="77777777" w:rsidTr="00AF740C">
        <w:trPr>
          <w:trHeight w:val="280"/>
        </w:trPr>
        <w:tc>
          <w:tcPr>
            <w:tcW w:w="2425" w:type="dxa"/>
            <w:noWrap/>
          </w:tcPr>
          <w:p w14:paraId="311CD579" w14:textId="64062310" w:rsidR="000D08CB" w:rsidRPr="00524A62" w:rsidRDefault="000D08CB" w:rsidP="000D08CB">
            <w:pPr>
              <w:rPr>
                <w:rFonts w:cstheme="minorHAnsi"/>
                <w:lang w:val="en-US" w:eastAsia="en-IN"/>
              </w:rPr>
            </w:pPr>
            <w:r w:rsidRPr="00524A62">
              <w:rPr>
                <w:rFonts w:cstheme="minorHAnsi"/>
                <w:lang w:val="en-US" w:eastAsia="en-IN"/>
              </w:rPr>
              <w:t>cap</w:t>
            </w:r>
          </w:p>
        </w:tc>
        <w:tc>
          <w:tcPr>
            <w:tcW w:w="3960" w:type="dxa"/>
          </w:tcPr>
          <w:p w14:paraId="3A365B73" w14:textId="5A7BF65A" w:rsidR="000D08CB" w:rsidRPr="00524A62" w:rsidRDefault="000D08CB" w:rsidP="000D08CB">
            <w:pPr>
              <w:rPr>
                <w:rFonts w:cstheme="minorHAnsi"/>
                <w:lang w:val="en-US" w:eastAsia="en-IN"/>
              </w:rPr>
            </w:pPr>
            <w:r w:rsidRPr="00524A62">
              <w:rPr>
                <w:rFonts w:cstheme="minorHAnsi"/>
                <w:lang w:val="en-US" w:eastAsia="en-IN"/>
              </w:rPr>
              <w:t>The numeric cap amount</w:t>
            </w:r>
          </w:p>
        </w:tc>
        <w:tc>
          <w:tcPr>
            <w:tcW w:w="3511" w:type="dxa"/>
            <w:noWrap/>
          </w:tcPr>
          <w:p w14:paraId="525F121C" w14:textId="60A6B6DB" w:rsidR="000D08CB" w:rsidRPr="00524A62" w:rsidRDefault="000D08CB" w:rsidP="000D08CB">
            <w:pPr>
              <w:rPr>
                <w:rFonts w:cstheme="minorHAnsi"/>
                <w:lang w:val="en-US" w:eastAsia="en-IN"/>
              </w:rPr>
            </w:pPr>
            <w:r w:rsidRPr="00524A62">
              <w:rPr>
                <w:rFonts w:cstheme="minorHAnsi"/>
                <w:lang w:val="en-US" w:eastAsia="en-IN"/>
              </w:rPr>
              <w:t>numeric</w:t>
            </w:r>
          </w:p>
        </w:tc>
      </w:tr>
      <w:tr w:rsidR="000D08CB" w:rsidRPr="00524A62" w14:paraId="250E5564" w14:textId="77777777" w:rsidTr="00AF740C">
        <w:trPr>
          <w:trHeight w:val="280"/>
        </w:trPr>
        <w:tc>
          <w:tcPr>
            <w:tcW w:w="2425" w:type="dxa"/>
            <w:noWrap/>
          </w:tcPr>
          <w:p w14:paraId="4282C7EF" w14:textId="5E63E0AA" w:rsidR="000D08CB" w:rsidRPr="00524A62" w:rsidRDefault="000D08CB" w:rsidP="000D08CB">
            <w:pPr>
              <w:rPr>
                <w:rFonts w:cstheme="minorHAnsi"/>
                <w:lang w:val="en-US" w:eastAsia="en-IN"/>
              </w:rPr>
            </w:pPr>
            <w:r w:rsidRPr="00524A62">
              <w:rPr>
                <w:rFonts w:cstheme="minorHAnsi"/>
                <w:lang w:val="en-US" w:eastAsia="en-IN"/>
              </w:rPr>
              <w:t>cap_possible</w:t>
            </w:r>
          </w:p>
        </w:tc>
        <w:tc>
          <w:tcPr>
            <w:tcW w:w="3960" w:type="dxa"/>
          </w:tcPr>
          <w:p w14:paraId="2E3D009B" w14:textId="38AEB6D2" w:rsidR="000D08CB" w:rsidRPr="00524A62" w:rsidRDefault="000D08CB" w:rsidP="000D08CB">
            <w:pPr>
              <w:rPr>
                <w:rFonts w:cstheme="minorHAnsi"/>
                <w:lang w:val="en-US" w:eastAsia="en-IN"/>
              </w:rPr>
            </w:pPr>
            <w:r w:rsidRPr="00524A62">
              <w:rPr>
                <w:rFonts w:cstheme="minorHAnsi"/>
                <w:lang w:val="en-US" w:eastAsia="en-IN"/>
              </w:rPr>
              <w:t>Indicates whether the policy had a cap beyond which no further support is paid</w:t>
            </w:r>
          </w:p>
        </w:tc>
        <w:tc>
          <w:tcPr>
            <w:tcW w:w="3511" w:type="dxa"/>
            <w:noWrap/>
          </w:tcPr>
          <w:p w14:paraId="754CF98C" w14:textId="21A860B2" w:rsidR="000D08CB" w:rsidRPr="00524A62" w:rsidRDefault="000D08CB" w:rsidP="000D08CB">
            <w:pPr>
              <w:rPr>
                <w:rFonts w:cstheme="minorHAnsi"/>
                <w:lang w:val="en-US" w:eastAsia="en-IN"/>
              </w:rPr>
            </w:pPr>
            <w:r w:rsidRPr="00524A62">
              <w:rPr>
                <w:rFonts w:cstheme="minorHAnsi"/>
                <w:lang w:val="en-US" w:eastAsia="en-IN"/>
              </w:rPr>
              <w:t>yes, no</w:t>
            </w:r>
          </w:p>
        </w:tc>
      </w:tr>
      <w:tr w:rsidR="000D08CB" w:rsidRPr="008D4356" w14:paraId="05D50C9B" w14:textId="77777777" w:rsidTr="00AF740C">
        <w:trPr>
          <w:trHeight w:val="280"/>
        </w:trPr>
        <w:tc>
          <w:tcPr>
            <w:tcW w:w="2425" w:type="dxa"/>
            <w:noWrap/>
          </w:tcPr>
          <w:p w14:paraId="31EE959A" w14:textId="36818DFD" w:rsidR="000D08CB" w:rsidRPr="00524A62" w:rsidRDefault="000D08CB" w:rsidP="000D08CB">
            <w:pPr>
              <w:rPr>
                <w:rFonts w:cstheme="minorHAnsi"/>
                <w:lang w:val="en-US" w:eastAsia="en-IN"/>
              </w:rPr>
            </w:pPr>
            <w:r w:rsidRPr="00524A62">
              <w:rPr>
                <w:rFonts w:cstheme="minorHAnsi"/>
                <w:lang w:val="en-US" w:eastAsia="en-IN"/>
              </w:rPr>
              <w:t>cap_units</w:t>
            </w:r>
          </w:p>
        </w:tc>
        <w:tc>
          <w:tcPr>
            <w:tcW w:w="3960" w:type="dxa"/>
          </w:tcPr>
          <w:p w14:paraId="28EDF83C" w14:textId="41405518" w:rsidR="000D08CB" w:rsidRPr="00524A62" w:rsidRDefault="000D08CB" w:rsidP="000D08CB">
            <w:pPr>
              <w:rPr>
                <w:rFonts w:cstheme="minorHAnsi"/>
                <w:lang w:val="en-US" w:eastAsia="en-IN"/>
              </w:rPr>
            </w:pPr>
            <w:r w:rsidRPr="00524A62">
              <w:rPr>
                <w:rFonts w:cstheme="minorHAnsi"/>
                <w:lang w:val="en-US" w:eastAsia="en-IN"/>
              </w:rPr>
              <w:t>The unit of the cap</w:t>
            </w:r>
          </w:p>
        </w:tc>
        <w:tc>
          <w:tcPr>
            <w:tcW w:w="3511" w:type="dxa"/>
            <w:noWrap/>
          </w:tcPr>
          <w:p w14:paraId="4C58CD9E" w14:textId="0B3A3645" w:rsidR="000D08CB" w:rsidRPr="00524A62" w:rsidRDefault="000D08CB" w:rsidP="000D08CB">
            <w:pPr>
              <w:rPr>
                <w:rFonts w:cstheme="minorHAnsi"/>
                <w:lang w:val="en-US" w:eastAsia="en-IN"/>
              </w:rPr>
            </w:pPr>
            <w:r w:rsidRPr="00524A62">
              <w:rPr>
                <w:rFonts w:cstheme="minorHAnsi"/>
                <w:lang w:val="en-US" w:eastAsia="en-IN"/>
              </w:rPr>
              <w:t>kW</w:t>
            </w:r>
            <w:r w:rsidR="00470439" w:rsidRPr="00524A62">
              <w:rPr>
                <w:rFonts w:cstheme="minorHAnsi"/>
                <w:lang w:val="en-US" w:eastAsia="en-IN"/>
              </w:rPr>
              <w:t>, kW for all technologies</w:t>
            </w:r>
            <w:r w:rsidRPr="00524A62">
              <w:rPr>
                <w:rFonts w:cstheme="minorHAnsi"/>
                <w:lang w:val="en-US" w:eastAsia="en-IN"/>
              </w:rPr>
              <w:t>…(see dataset)</w:t>
            </w:r>
          </w:p>
        </w:tc>
      </w:tr>
      <w:tr w:rsidR="000D08CB" w:rsidRPr="00524A62" w14:paraId="7D488D10" w14:textId="77777777" w:rsidTr="00AF740C">
        <w:trPr>
          <w:trHeight w:val="280"/>
        </w:trPr>
        <w:tc>
          <w:tcPr>
            <w:tcW w:w="2425" w:type="dxa"/>
            <w:noWrap/>
          </w:tcPr>
          <w:p w14:paraId="0019190B" w14:textId="44C7AAE0" w:rsidR="000D08CB" w:rsidRPr="00524A62" w:rsidRDefault="000D08CB" w:rsidP="000D08CB">
            <w:pPr>
              <w:rPr>
                <w:rFonts w:cstheme="minorHAnsi"/>
                <w:lang w:val="en-US" w:eastAsia="en-IN"/>
              </w:rPr>
            </w:pPr>
            <w:r w:rsidRPr="00524A62">
              <w:rPr>
                <w:rFonts w:cstheme="minorHAnsi"/>
                <w:lang w:val="en-US" w:eastAsia="en-IN"/>
              </w:rPr>
              <w:t>cap_unit_currency</w:t>
            </w:r>
          </w:p>
        </w:tc>
        <w:tc>
          <w:tcPr>
            <w:tcW w:w="3960" w:type="dxa"/>
          </w:tcPr>
          <w:p w14:paraId="5DE277B0" w14:textId="3AF32F16" w:rsidR="000D08CB" w:rsidRPr="00524A62" w:rsidRDefault="000D08CB" w:rsidP="000D08CB">
            <w:pPr>
              <w:rPr>
                <w:rFonts w:cstheme="minorHAnsi"/>
                <w:lang w:val="en-US" w:eastAsia="en-IN"/>
              </w:rPr>
            </w:pPr>
            <w:r w:rsidRPr="00524A62">
              <w:rPr>
                <w:rFonts w:cstheme="minorHAnsi"/>
                <w:lang w:val="en-US" w:eastAsia="en-IN"/>
              </w:rPr>
              <w:t>The currency of the cap amount, if applicable</w:t>
            </w:r>
          </w:p>
        </w:tc>
        <w:tc>
          <w:tcPr>
            <w:tcW w:w="3511" w:type="dxa"/>
            <w:noWrap/>
          </w:tcPr>
          <w:p w14:paraId="541679B9" w14:textId="1E62456C" w:rsidR="000D08CB" w:rsidRPr="00524A62" w:rsidRDefault="000D08CB" w:rsidP="000D08CB">
            <w:pPr>
              <w:rPr>
                <w:rFonts w:cstheme="minorHAnsi"/>
                <w:lang w:val="en-US" w:eastAsia="en-IN"/>
              </w:rPr>
            </w:pPr>
            <w:r w:rsidRPr="00524A62">
              <w:rPr>
                <w:rFonts w:cstheme="minorHAnsi"/>
                <w:lang w:val="en-US" w:eastAsia="en-IN"/>
              </w:rPr>
              <w:t>EUR</w:t>
            </w:r>
          </w:p>
        </w:tc>
      </w:tr>
      <w:tr w:rsidR="00E615C6" w:rsidRPr="00524A62" w14:paraId="6926FC1B" w14:textId="77777777" w:rsidTr="00AF740C">
        <w:trPr>
          <w:trHeight w:val="280"/>
        </w:trPr>
        <w:tc>
          <w:tcPr>
            <w:tcW w:w="2425" w:type="dxa"/>
            <w:noWrap/>
          </w:tcPr>
          <w:p w14:paraId="63589D5D" w14:textId="667EF7FA" w:rsidR="00E615C6" w:rsidRPr="00524A62" w:rsidRDefault="00E615C6" w:rsidP="00E615C6">
            <w:pPr>
              <w:rPr>
                <w:rFonts w:cstheme="minorHAnsi"/>
                <w:lang w:val="en-US" w:eastAsia="en-IN"/>
              </w:rPr>
            </w:pPr>
            <w:r w:rsidRPr="00524A62">
              <w:rPr>
                <w:rFonts w:cstheme="minorHAnsi"/>
                <w:lang w:val="en-US" w:eastAsia="en-IN"/>
              </w:rPr>
              <w:t>cap_notes</w:t>
            </w:r>
          </w:p>
        </w:tc>
        <w:tc>
          <w:tcPr>
            <w:tcW w:w="3960" w:type="dxa"/>
          </w:tcPr>
          <w:p w14:paraId="5999F10B" w14:textId="2FFC0E90" w:rsidR="00E615C6" w:rsidRPr="00524A62" w:rsidRDefault="00E615C6" w:rsidP="00E615C6">
            <w:pPr>
              <w:rPr>
                <w:rFonts w:cstheme="minorHAnsi"/>
                <w:lang w:val="en-US" w:eastAsia="en-IN"/>
              </w:rPr>
            </w:pPr>
            <w:r w:rsidRPr="00524A62">
              <w:rPr>
                <w:rFonts w:cstheme="minorHAnsi"/>
                <w:lang w:val="en-US" w:eastAsia="en-IN"/>
              </w:rPr>
              <w:t>notes on cap details</w:t>
            </w:r>
          </w:p>
        </w:tc>
        <w:tc>
          <w:tcPr>
            <w:tcW w:w="3511" w:type="dxa"/>
            <w:noWrap/>
          </w:tcPr>
          <w:p w14:paraId="01C1214B" w14:textId="7D93040A" w:rsidR="00E615C6" w:rsidRPr="00524A62" w:rsidRDefault="00FA4269" w:rsidP="00E615C6">
            <w:pPr>
              <w:rPr>
                <w:rFonts w:cstheme="minorHAnsi"/>
                <w:lang w:val="en-US" w:eastAsia="en-IN"/>
              </w:rPr>
            </w:pPr>
            <w:r w:rsidRPr="00524A62">
              <w:rPr>
                <w:rFonts w:cstheme="minorHAnsi"/>
                <w:lang w:val="en-US" w:eastAsia="en-IN"/>
              </w:rPr>
              <w:t>(see dataset)</w:t>
            </w:r>
          </w:p>
        </w:tc>
      </w:tr>
      <w:tr w:rsidR="00E615C6" w:rsidRPr="00524A62" w14:paraId="76B15DDB" w14:textId="77777777" w:rsidTr="00AF740C">
        <w:trPr>
          <w:trHeight w:val="280"/>
        </w:trPr>
        <w:tc>
          <w:tcPr>
            <w:tcW w:w="2425" w:type="dxa"/>
            <w:noWrap/>
            <w:hideMark/>
          </w:tcPr>
          <w:p w14:paraId="3E9EFAAE" w14:textId="0934AACA"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eastAsia="en-IN"/>
              </w:rPr>
              <w:t>maximum_1</w:t>
            </w:r>
          </w:p>
        </w:tc>
        <w:tc>
          <w:tcPr>
            <w:tcW w:w="3960" w:type="dxa"/>
          </w:tcPr>
          <w:p w14:paraId="7403BBD3" w14:textId="77777777" w:rsidR="00E615C6" w:rsidRPr="00524A62" w:rsidRDefault="00E615C6" w:rsidP="00E615C6">
            <w:pPr>
              <w:rPr>
                <w:rFonts w:cstheme="minorHAnsi"/>
                <w:lang w:val="en-US"/>
              </w:rPr>
            </w:pPr>
            <w:r w:rsidRPr="00524A62">
              <w:rPr>
                <w:rFonts w:cstheme="minorHAnsi"/>
                <w:lang w:val="en-US"/>
              </w:rPr>
              <w:t>The maximum level or amount for which support will be granted, under Condition 1</w:t>
            </w:r>
          </w:p>
        </w:tc>
        <w:tc>
          <w:tcPr>
            <w:tcW w:w="3511" w:type="dxa"/>
            <w:noWrap/>
            <w:hideMark/>
          </w:tcPr>
          <w:p w14:paraId="4E498CF4" w14:textId="77777777" w:rsidR="00E615C6" w:rsidRPr="00524A62" w:rsidRDefault="00E615C6" w:rsidP="00E615C6">
            <w:pPr>
              <w:rPr>
                <w:rFonts w:cstheme="minorHAnsi"/>
                <w:lang w:val="en-US" w:eastAsia="en-IN"/>
              </w:rPr>
            </w:pPr>
            <w:r w:rsidRPr="00524A62">
              <w:rPr>
                <w:rFonts w:cstheme="minorHAnsi"/>
                <w:lang w:val="en-US" w:eastAsia="en-IN"/>
              </w:rPr>
              <w:t>numeric</w:t>
            </w:r>
          </w:p>
        </w:tc>
      </w:tr>
      <w:tr w:rsidR="00E615C6" w:rsidRPr="00524A62" w14:paraId="5FDDA506" w14:textId="77777777" w:rsidTr="00AF740C">
        <w:trPr>
          <w:trHeight w:val="280"/>
        </w:trPr>
        <w:tc>
          <w:tcPr>
            <w:tcW w:w="2425" w:type="dxa"/>
            <w:noWrap/>
            <w:hideMark/>
          </w:tcPr>
          <w:p w14:paraId="0D6A8602" w14:textId="4DA32E04"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eastAsia="en-IN"/>
              </w:rPr>
              <w:t>maximum_2</w:t>
            </w:r>
          </w:p>
        </w:tc>
        <w:tc>
          <w:tcPr>
            <w:tcW w:w="3960" w:type="dxa"/>
          </w:tcPr>
          <w:p w14:paraId="4AA3C07C" w14:textId="77777777" w:rsidR="00E615C6" w:rsidRPr="00524A62" w:rsidRDefault="00E615C6" w:rsidP="00E615C6">
            <w:pPr>
              <w:rPr>
                <w:rFonts w:cstheme="minorHAnsi"/>
                <w:lang w:val="en-US" w:eastAsia="en-IN"/>
              </w:rPr>
            </w:pPr>
            <w:r w:rsidRPr="00524A62">
              <w:rPr>
                <w:rFonts w:cstheme="minorHAnsi"/>
                <w:lang w:val="en-US"/>
              </w:rPr>
              <w:t>The maximum level or amount for which support will be granted, under Condition 2</w:t>
            </w:r>
          </w:p>
        </w:tc>
        <w:tc>
          <w:tcPr>
            <w:tcW w:w="3511" w:type="dxa"/>
            <w:noWrap/>
            <w:hideMark/>
          </w:tcPr>
          <w:p w14:paraId="071C3303" w14:textId="77777777" w:rsidR="00E615C6" w:rsidRPr="00524A62" w:rsidRDefault="00E615C6" w:rsidP="00E615C6">
            <w:pPr>
              <w:rPr>
                <w:rFonts w:cstheme="minorHAnsi"/>
                <w:lang w:val="en-US" w:eastAsia="en-IN"/>
              </w:rPr>
            </w:pPr>
            <w:r w:rsidRPr="00524A62">
              <w:rPr>
                <w:rFonts w:cstheme="minorHAnsi"/>
                <w:lang w:val="en-US" w:eastAsia="en-IN"/>
              </w:rPr>
              <w:t>numeric</w:t>
            </w:r>
          </w:p>
        </w:tc>
      </w:tr>
      <w:tr w:rsidR="00E615C6" w:rsidRPr="00524A62" w14:paraId="3424712A" w14:textId="77777777" w:rsidTr="00AF740C">
        <w:trPr>
          <w:trHeight w:val="280"/>
        </w:trPr>
        <w:tc>
          <w:tcPr>
            <w:tcW w:w="2425" w:type="dxa"/>
            <w:noWrap/>
            <w:hideMark/>
          </w:tcPr>
          <w:p w14:paraId="5510B417" w14:textId="2C75A730"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eastAsia="en-IN"/>
              </w:rPr>
              <w:t>maximum_3</w:t>
            </w:r>
          </w:p>
        </w:tc>
        <w:tc>
          <w:tcPr>
            <w:tcW w:w="3960" w:type="dxa"/>
          </w:tcPr>
          <w:p w14:paraId="7CD9B92F" w14:textId="77777777" w:rsidR="00E615C6" w:rsidRPr="00524A62" w:rsidRDefault="00E615C6" w:rsidP="00E615C6">
            <w:pPr>
              <w:rPr>
                <w:rFonts w:cstheme="minorHAnsi"/>
                <w:lang w:val="en-US" w:eastAsia="en-IN"/>
              </w:rPr>
            </w:pPr>
            <w:r w:rsidRPr="00524A62">
              <w:rPr>
                <w:rFonts w:cstheme="minorHAnsi"/>
                <w:lang w:val="en-US"/>
              </w:rPr>
              <w:t>The maximum level or amount for which support will be granted, under Condition 3</w:t>
            </w:r>
          </w:p>
        </w:tc>
        <w:tc>
          <w:tcPr>
            <w:tcW w:w="3511" w:type="dxa"/>
            <w:noWrap/>
            <w:hideMark/>
          </w:tcPr>
          <w:p w14:paraId="47A23051" w14:textId="77777777" w:rsidR="00E615C6" w:rsidRPr="00524A62" w:rsidRDefault="00E615C6" w:rsidP="00E615C6">
            <w:pPr>
              <w:rPr>
                <w:rFonts w:cstheme="minorHAnsi"/>
                <w:lang w:val="en-US" w:eastAsia="en-IN"/>
              </w:rPr>
            </w:pPr>
            <w:r w:rsidRPr="00524A62">
              <w:rPr>
                <w:rFonts w:cstheme="minorHAnsi"/>
                <w:lang w:val="en-US" w:eastAsia="en-IN"/>
              </w:rPr>
              <w:t>numeric</w:t>
            </w:r>
          </w:p>
        </w:tc>
      </w:tr>
      <w:tr w:rsidR="00E615C6" w:rsidRPr="00524A62" w14:paraId="22D42025" w14:textId="77777777" w:rsidTr="00AF740C">
        <w:trPr>
          <w:trHeight w:val="280"/>
        </w:trPr>
        <w:tc>
          <w:tcPr>
            <w:tcW w:w="2425" w:type="dxa"/>
            <w:noWrap/>
          </w:tcPr>
          <w:p w14:paraId="5D1D1C1A" w14:textId="48A3F3DA"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eastAsia="en-IN"/>
              </w:rPr>
              <w:t>maximum_4</w:t>
            </w:r>
          </w:p>
        </w:tc>
        <w:tc>
          <w:tcPr>
            <w:tcW w:w="3960" w:type="dxa"/>
          </w:tcPr>
          <w:p w14:paraId="40CC055C" w14:textId="301765D1" w:rsidR="00E615C6" w:rsidRPr="00524A62" w:rsidRDefault="00E615C6" w:rsidP="00E615C6">
            <w:pPr>
              <w:rPr>
                <w:rFonts w:cstheme="minorHAnsi"/>
                <w:lang w:val="en-US"/>
              </w:rPr>
            </w:pPr>
            <w:r w:rsidRPr="00524A62">
              <w:rPr>
                <w:rFonts w:cstheme="minorHAnsi"/>
                <w:lang w:val="en-US"/>
              </w:rPr>
              <w:t>The maximum level or amount for which support will be granted, under Condition 4</w:t>
            </w:r>
          </w:p>
        </w:tc>
        <w:tc>
          <w:tcPr>
            <w:tcW w:w="3511" w:type="dxa"/>
            <w:noWrap/>
          </w:tcPr>
          <w:p w14:paraId="6DF6742F" w14:textId="0C73B1BA" w:rsidR="00E615C6" w:rsidRPr="00524A62" w:rsidRDefault="00E615C6" w:rsidP="00E615C6">
            <w:pPr>
              <w:rPr>
                <w:rFonts w:cstheme="minorHAnsi"/>
                <w:lang w:val="en-US" w:eastAsia="en-IN"/>
              </w:rPr>
            </w:pPr>
            <w:r w:rsidRPr="00524A62">
              <w:rPr>
                <w:rFonts w:cstheme="minorHAnsi"/>
                <w:lang w:val="en-US" w:eastAsia="en-IN"/>
              </w:rPr>
              <w:t>numeric</w:t>
            </w:r>
          </w:p>
        </w:tc>
      </w:tr>
      <w:tr w:rsidR="00E615C6" w:rsidRPr="00524A62" w14:paraId="622FDBBC" w14:textId="77777777" w:rsidTr="00AF740C">
        <w:trPr>
          <w:trHeight w:val="280"/>
        </w:trPr>
        <w:tc>
          <w:tcPr>
            <w:tcW w:w="2425" w:type="dxa"/>
            <w:noWrap/>
          </w:tcPr>
          <w:p w14:paraId="12E4B41C" w14:textId="1E3F5262"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eastAsia="en-IN"/>
              </w:rPr>
              <w:t>maximum_5</w:t>
            </w:r>
          </w:p>
        </w:tc>
        <w:tc>
          <w:tcPr>
            <w:tcW w:w="3960" w:type="dxa"/>
          </w:tcPr>
          <w:p w14:paraId="6ADE4B72" w14:textId="1B10185A" w:rsidR="00E615C6" w:rsidRPr="00524A62" w:rsidRDefault="00E615C6" w:rsidP="00E615C6">
            <w:pPr>
              <w:rPr>
                <w:rFonts w:cstheme="minorHAnsi"/>
                <w:lang w:val="en-US"/>
              </w:rPr>
            </w:pPr>
            <w:r w:rsidRPr="00524A62">
              <w:rPr>
                <w:rFonts w:cstheme="minorHAnsi"/>
                <w:lang w:val="en-US"/>
              </w:rPr>
              <w:t>The maximum level or amount for which support will be granted, under Condition 5</w:t>
            </w:r>
          </w:p>
        </w:tc>
        <w:tc>
          <w:tcPr>
            <w:tcW w:w="3511" w:type="dxa"/>
            <w:noWrap/>
          </w:tcPr>
          <w:p w14:paraId="6D0133DF" w14:textId="63CDD4FA" w:rsidR="00E615C6" w:rsidRPr="00524A62" w:rsidRDefault="00E615C6" w:rsidP="00E615C6">
            <w:pPr>
              <w:rPr>
                <w:rFonts w:cstheme="minorHAnsi"/>
                <w:lang w:val="en-US" w:eastAsia="en-IN"/>
              </w:rPr>
            </w:pPr>
            <w:r w:rsidRPr="00524A62">
              <w:rPr>
                <w:rFonts w:cstheme="minorHAnsi"/>
                <w:lang w:val="en-US" w:eastAsia="en-IN"/>
              </w:rPr>
              <w:t>numeric</w:t>
            </w:r>
          </w:p>
        </w:tc>
      </w:tr>
      <w:tr w:rsidR="00E615C6" w:rsidRPr="00524A62" w14:paraId="5D367E58" w14:textId="77777777" w:rsidTr="00AF740C">
        <w:trPr>
          <w:trHeight w:val="280"/>
        </w:trPr>
        <w:tc>
          <w:tcPr>
            <w:tcW w:w="2425" w:type="dxa"/>
            <w:noWrap/>
            <w:hideMark/>
          </w:tcPr>
          <w:p w14:paraId="751614A6" w14:textId="316F1004" w:rsidR="00E615C6" w:rsidRPr="00524A62" w:rsidRDefault="00A21A6A" w:rsidP="00E615C6">
            <w:pPr>
              <w:rPr>
                <w:rFonts w:cstheme="minorHAnsi"/>
                <w:lang w:val="en-US" w:eastAsia="en-IN"/>
              </w:rPr>
            </w:pPr>
            <w:r w:rsidRPr="00524A62">
              <w:rPr>
                <w:rFonts w:cstheme="minorHAnsi"/>
                <w:lang w:val="en-US" w:eastAsia="en-IN"/>
              </w:rPr>
              <w:lastRenderedPageBreak/>
              <w:t>condition_</w:t>
            </w:r>
            <w:r w:rsidR="00E615C6" w:rsidRPr="00524A62">
              <w:rPr>
                <w:rFonts w:cstheme="minorHAnsi"/>
                <w:lang w:val="en-US" w:eastAsia="en-IN"/>
              </w:rPr>
              <w:t>minimum_1</w:t>
            </w:r>
          </w:p>
        </w:tc>
        <w:tc>
          <w:tcPr>
            <w:tcW w:w="3960" w:type="dxa"/>
          </w:tcPr>
          <w:p w14:paraId="6B230D94" w14:textId="77777777" w:rsidR="00E615C6" w:rsidRPr="00524A62" w:rsidRDefault="00E615C6" w:rsidP="00E615C6">
            <w:pPr>
              <w:rPr>
                <w:rFonts w:cstheme="minorHAnsi"/>
                <w:lang w:val="en-US" w:eastAsia="en-IN"/>
              </w:rPr>
            </w:pPr>
            <w:r w:rsidRPr="00524A62">
              <w:rPr>
                <w:rFonts w:cstheme="minorHAnsi"/>
                <w:lang w:val="en-US"/>
              </w:rPr>
              <w:t>The minimum level or amount for which support will be granted, under Condition 1</w:t>
            </w:r>
          </w:p>
        </w:tc>
        <w:tc>
          <w:tcPr>
            <w:tcW w:w="3511" w:type="dxa"/>
            <w:noWrap/>
            <w:hideMark/>
          </w:tcPr>
          <w:p w14:paraId="3ACCC88C" w14:textId="77777777" w:rsidR="00E615C6" w:rsidRPr="00524A62" w:rsidRDefault="00E615C6" w:rsidP="00E615C6">
            <w:pPr>
              <w:rPr>
                <w:rFonts w:cstheme="minorHAnsi"/>
                <w:lang w:val="en-US" w:eastAsia="en-IN"/>
              </w:rPr>
            </w:pPr>
            <w:r w:rsidRPr="00524A62">
              <w:rPr>
                <w:rFonts w:cstheme="minorHAnsi"/>
                <w:lang w:val="en-US" w:eastAsia="en-IN"/>
              </w:rPr>
              <w:t>numeric</w:t>
            </w:r>
          </w:p>
        </w:tc>
      </w:tr>
      <w:tr w:rsidR="00E615C6" w:rsidRPr="00524A62" w14:paraId="6FAEA3F3" w14:textId="77777777" w:rsidTr="00AF740C">
        <w:trPr>
          <w:trHeight w:val="280"/>
        </w:trPr>
        <w:tc>
          <w:tcPr>
            <w:tcW w:w="2425" w:type="dxa"/>
            <w:noWrap/>
            <w:hideMark/>
          </w:tcPr>
          <w:p w14:paraId="0E99EDDB" w14:textId="2D49E355"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eastAsia="en-IN"/>
              </w:rPr>
              <w:t>minimum_2</w:t>
            </w:r>
          </w:p>
        </w:tc>
        <w:tc>
          <w:tcPr>
            <w:tcW w:w="3960" w:type="dxa"/>
          </w:tcPr>
          <w:p w14:paraId="4246B603" w14:textId="77777777" w:rsidR="00E615C6" w:rsidRPr="00524A62" w:rsidRDefault="00E615C6" w:rsidP="00E615C6">
            <w:pPr>
              <w:rPr>
                <w:rFonts w:cstheme="minorHAnsi"/>
                <w:lang w:val="en-US" w:eastAsia="en-IN"/>
              </w:rPr>
            </w:pPr>
            <w:r w:rsidRPr="00524A62">
              <w:rPr>
                <w:rFonts w:cstheme="minorHAnsi"/>
                <w:lang w:val="en-US"/>
              </w:rPr>
              <w:t>The minimum level or amount for which support will be granted, under Condition 2</w:t>
            </w:r>
          </w:p>
        </w:tc>
        <w:tc>
          <w:tcPr>
            <w:tcW w:w="3511" w:type="dxa"/>
            <w:noWrap/>
            <w:hideMark/>
          </w:tcPr>
          <w:p w14:paraId="2DC1678F" w14:textId="77777777" w:rsidR="00E615C6" w:rsidRPr="00524A62" w:rsidRDefault="00E615C6" w:rsidP="00E615C6">
            <w:pPr>
              <w:rPr>
                <w:rFonts w:cstheme="minorHAnsi"/>
                <w:lang w:val="en-US" w:eastAsia="en-IN"/>
              </w:rPr>
            </w:pPr>
            <w:r w:rsidRPr="00524A62">
              <w:rPr>
                <w:rFonts w:cstheme="minorHAnsi"/>
                <w:lang w:val="en-US" w:eastAsia="en-IN"/>
              </w:rPr>
              <w:t>numeric</w:t>
            </w:r>
          </w:p>
        </w:tc>
      </w:tr>
      <w:tr w:rsidR="00E615C6" w:rsidRPr="00524A62" w14:paraId="25BCF88D" w14:textId="77777777" w:rsidTr="00AF740C">
        <w:trPr>
          <w:trHeight w:val="280"/>
        </w:trPr>
        <w:tc>
          <w:tcPr>
            <w:tcW w:w="2425" w:type="dxa"/>
            <w:noWrap/>
            <w:hideMark/>
          </w:tcPr>
          <w:p w14:paraId="19D49AAA" w14:textId="3766681F"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eastAsia="en-IN"/>
              </w:rPr>
              <w:t>minimum_3</w:t>
            </w:r>
          </w:p>
        </w:tc>
        <w:tc>
          <w:tcPr>
            <w:tcW w:w="3960" w:type="dxa"/>
          </w:tcPr>
          <w:p w14:paraId="0C3E2921" w14:textId="77777777" w:rsidR="00E615C6" w:rsidRPr="00524A62" w:rsidRDefault="00E615C6" w:rsidP="00E615C6">
            <w:pPr>
              <w:rPr>
                <w:rFonts w:cstheme="minorHAnsi"/>
                <w:lang w:val="en-US" w:eastAsia="en-IN"/>
              </w:rPr>
            </w:pPr>
            <w:r w:rsidRPr="00524A62">
              <w:rPr>
                <w:rFonts w:cstheme="minorHAnsi"/>
                <w:lang w:val="en-US"/>
              </w:rPr>
              <w:t>The minimum level or amount for which support will be granted, under Condition 3</w:t>
            </w:r>
          </w:p>
        </w:tc>
        <w:tc>
          <w:tcPr>
            <w:tcW w:w="3511" w:type="dxa"/>
            <w:noWrap/>
            <w:hideMark/>
          </w:tcPr>
          <w:p w14:paraId="47BC8166" w14:textId="77777777" w:rsidR="00E615C6" w:rsidRPr="00524A62" w:rsidRDefault="00E615C6" w:rsidP="00E615C6">
            <w:pPr>
              <w:rPr>
                <w:rFonts w:cstheme="minorHAnsi"/>
                <w:lang w:val="en-US" w:eastAsia="en-IN"/>
              </w:rPr>
            </w:pPr>
            <w:r w:rsidRPr="00524A62">
              <w:rPr>
                <w:rFonts w:cstheme="minorHAnsi"/>
                <w:lang w:val="en-US" w:eastAsia="en-IN"/>
              </w:rPr>
              <w:t>numeric</w:t>
            </w:r>
          </w:p>
        </w:tc>
      </w:tr>
      <w:tr w:rsidR="00E615C6" w:rsidRPr="00524A62" w14:paraId="6A08A04C" w14:textId="77777777" w:rsidTr="00AF740C">
        <w:trPr>
          <w:trHeight w:val="280"/>
        </w:trPr>
        <w:tc>
          <w:tcPr>
            <w:tcW w:w="2425" w:type="dxa"/>
            <w:noWrap/>
          </w:tcPr>
          <w:p w14:paraId="1532F269" w14:textId="3A4A8F91"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eastAsia="en-IN"/>
              </w:rPr>
              <w:t>minimum_4</w:t>
            </w:r>
          </w:p>
        </w:tc>
        <w:tc>
          <w:tcPr>
            <w:tcW w:w="3960" w:type="dxa"/>
          </w:tcPr>
          <w:p w14:paraId="5E8A642F" w14:textId="1654DADB" w:rsidR="00E615C6" w:rsidRPr="00524A62" w:rsidRDefault="00E615C6" w:rsidP="00E615C6">
            <w:pPr>
              <w:rPr>
                <w:rFonts w:cstheme="minorHAnsi"/>
                <w:lang w:val="en-US"/>
              </w:rPr>
            </w:pPr>
            <w:r w:rsidRPr="00524A62">
              <w:rPr>
                <w:rFonts w:cstheme="minorHAnsi"/>
                <w:lang w:val="en-US"/>
              </w:rPr>
              <w:t>The minimum level or amount for which support will be granted, under Condition 4</w:t>
            </w:r>
          </w:p>
        </w:tc>
        <w:tc>
          <w:tcPr>
            <w:tcW w:w="3511" w:type="dxa"/>
            <w:noWrap/>
          </w:tcPr>
          <w:p w14:paraId="7E324832" w14:textId="2540B1B2" w:rsidR="00E615C6" w:rsidRPr="00524A62" w:rsidRDefault="00E615C6" w:rsidP="00E615C6">
            <w:pPr>
              <w:rPr>
                <w:rFonts w:cstheme="minorHAnsi"/>
                <w:lang w:val="en-US" w:eastAsia="en-IN"/>
              </w:rPr>
            </w:pPr>
            <w:r w:rsidRPr="00524A62">
              <w:rPr>
                <w:rFonts w:cstheme="minorHAnsi"/>
                <w:lang w:val="en-US" w:eastAsia="en-IN"/>
              </w:rPr>
              <w:t>numeric</w:t>
            </w:r>
          </w:p>
        </w:tc>
      </w:tr>
      <w:tr w:rsidR="00E615C6" w:rsidRPr="00524A62" w14:paraId="1C2DB758" w14:textId="77777777" w:rsidTr="00AF740C">
        <w:trPr>
          <w:trHeight w:val="280"/>
        </w:trPr>
        <w:tc>
          <w:tcPr>
            <w:tcW w:w="2425" w:type="dxa"/>
            <w:noWrap/>
          </w:tcPr>
          <w:p w14:paraId="4D7A0A6B" w14:textId="1AB719C4"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eastAsia="en-IN"/>
              </w:rPr>
              <w:t>minimum_5</w:t>
            </w:r>
          </w:p>
        </w:tc>
        <w:tc>
          <w:tcPr>
            <w:tcW w:w="3960" w:type="dxa"/>
          </w:tcPr>
          <w:p w14:paraId="5DEE8E99" w14:textId="2165E241" w:rsidR="00E615C6" w:rsidRPr="00524A62" w:rsidRDefault="00E615C6" w:rsidP="00E615C6">
            <w:pPr>
              <w:rPr>
                <w:rFonts w:cstheme="minorHAnsi"/>
                <w:lang w:val="en-US"/>
              </w:rPr>
            </w:pPr>
            <w:r w:rsidRPr="00524A62">
              <w:rPr>
                <w:rFonts w:cstheme="minorHAnsi"/>
                <w:lang w:val="en-US"/>
              </w:rPr>
              <w:t>The minimum level or amount for which support will be granted, under Condition 5</w:t>
            </w:r>
          </w:p>
        </w:tc>
        <w:tc>
          <w:tcPr>
            <w:tcW w:w="3511" w:type="dxa"/>
            <w:noWrap/>
          </w:tcPr>
          <w:p w14:paraId="23E17AB8" w14:textId="099838BF" w:rsidR="00E615C6" w:rsidRPr="00524A62" w:rsidRDefault="00E615C6" w:rsidP="00E615C6">
            <w:pPr>
              <w:rPr>
                <w:rFonts w:cstheme="minorHAnsi"/>
                <w:lang w:val="en-US" w:eastAsia="en-IN"/>
              </w:rPr>
            </w:pPr>
            <w:r w:rsidRPr="00524A62">
              <w:rPr>
                <w:rFonts w:cstheme="minorHAnsi"/>
                <w:lang w:val="en-US" w:eastAsia="en-IN"/>
              </w:rPr>
              <w:t>numeric</w:t>
            </w:r>
          </w:p>
        </w:tc>
      </w:tr>
      <w:tr w:rsidR="00E615C6" w:rsidRPr="00524A62" w14:paraId="5823E97E" w14:textId="77777777" w:rsidTr="00AF740C">
        <w:trPr>
          <w:trHeight w:val="280"/>
        </w:trPr>
        <w:tc>
          <w:tcPr>
            <w:tcW w:w="2425" w:type="dxa"/>
            <w:noWrap/>
            <w:hideMark/>
          </w:tcPr>
          <w:p w14:paraId="5D981289" w14:textId="061F5237"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eastAsia="en-IN"/>
              </w:rPr>
              <w:t>notes_1</w:t>
            </w:r>
          </w:p>
        </w:tc>
        <w:tc>
          <w:tcPr>
            <w:tcW w:w="3960" w:type="dxa"/>
          </w:tcPr>
          <w:p w14:paraId="2E0BFF64" w14:textId="292E4E5A" w:rsidR="00E615C6" w:rsidRPr="00524A62" w:rsidRDefault="00E615C6" w:rsidP="00E615C6">
            <w:pPr>
              <w:rPr>
                <w:rFonts w:cstheme="minorHAnsi"/>
                <w:lang w:val="en-US" w:eastAsia="en-IN"/>
              </w:rPr>
            </w:pPr>
            <w:r w:rsidRPr="00524A62">
              <w:rPr>
                <w:rFonts w:cstheme="minorHAnsi"/>
                <w:lang w:val="en-US" w:eastAsia="en-IN"/>
              </w:rPr>
              <w:t xml:space="preserve">Any further </w:t>
            </w:r>
            <w:r w:rsidRPr="00524A62">
              <w:rPr>
                <w:rFonts w:cstheme="minorHAnsi"/>
                <w:lang w:val="en-US"/>
              </w:rPr>
              <w:t>notes</w:t>
            </w:r>
            <w:r w:rsidRPr="00524A62">
              <w:rPr>
                <w:rFonts w:cstheme="minorHAnsi"/>
                <w:lang w:val="en-US" w:eastAsia="en-IN"/>
              </w:rPr>
              <w:t xml:space="preserve"> on </w:t>
            </w:r>
            <w:r w:rsidR="00A21A6A" w:rsidRPr="00524A62">
              <w:rPr>
                <w:rFonts w:cstheme="minorHAnsi"/>
                <w:lang w:val="en-US" w:eastAsia="en-IN"/>
              </w:rPr>
              <w:t>condition_</w:t>
            </w:r>
            <w:r w:rsidRPr="00524A62">
              <w:rPr>
                <w:rFonts w:cstheme="minorHAnsi"/>
                <w:lang w:val="en-US" w:eastAsia="en-IN"/>
              </w:rPr>
              <w:t>1</w:t>
            </w:r>
          </w:p>
        </w:tc>
        <w:tc>
          <w:tcPr>
            <w:tcW w:w="3511" w:type="dxa"/>
            <w:noWrap/>
            <w:hideMark/>
          </w:tcPr>
          <w:p w14:paraId="1D516F34" w14:textId="77777777" w:rsidR="00E615C6" w:rsidRPr="00524A62" w:rsidRDefault="00E615C6" w:rsidP="00E615C6">
            <w:pPr>
              <w:rPr>
                <w:rFonts w:cstheme="minorHAnsi"/>
                <w:lang w:val="en-US" w:eastAsia="en-IN"/>
              </w:rPr>
            </w:pPr>
            <w:r w:rsidRPr="00524A62">
              <w:rPr>
                <w:rFonts w:cstheme="minorHAnsi"/>
                <w:lang w:val="en-US" w:eastAsia="en-IN"/>
              </w:rPr>
              <w:t>(see dataset)</w:t>
            </w:r>
          </w:p>
        </w:tc>
      </w:tr>
      <w:tr w:rsidR="00E615C6" w:rsidRPr="00524A62" w14:paraId="7FE0D320" w14:textId="77777777" w:rsidTr="00AF740C">
        <w:trPr>
          <w:trHeight w:val="280"/>
        </w:trPr>
        <w:tc>
          <w:tcPr>
            <w:tcW w:w="2425" w:type="dxa"/>
            <w:noWrap/>
            <w:hideMark/>
          </w:tcPr>
          <w:p w14:paraId="74C16B2D" w14:textId="0F518485"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rPr>
              <w:t xml:space="preserve"> notes</w:t>
            </w:r>
            <w:r w:rsidR="00E615C6" w:rsidRPr="00524A62">
              <w:rPr>
                <w:rFonts w:cstheme="minorHAnsi"/>
                <w:lang w:val="en-US" w:eastAsia="en-IN"/>
              </w:rPr>
              <w:t xml:space="preserve"> _2</w:t>
            </w:r>
          </w:p>
        </w:tc>
        <w:tc>
          <w:tcPr>
            <w:tcW w:w="3960" w:type="dxa"/>
          </w:tcPr>
          <w:p w14:paraId="3B398679" w14:textId="7FEA5835" w:rsidR="00E615C6" w:rsidRPr="00524A62" w:rsidRDefault="00E615C6" w:rsidP="00E615C6">
            <w:pPr>
              <w:rPr>
                <w:rFonts w:cstheme="minorHAnsi"/>
                <w:lang w:val="en-US" w:eastAsia="en-IN"/>
              </w:rPr>
            </w:pPr>
            <w:r w:rsidRPr="00524A62">
              <w:rPr>
                <w:rFonts w:cstheme="minorHAnsi"/>
                <w:lang w:val="en-US" w:eastAsia="en-IN"/>
              </w:rPr>
              <w:t xml:space="preserve">Any further </w:t>
            </w:r>
            <w:r w:rsidRPr="00524A62">
              <w:rPr>
                <w:rFonts w:cstheme="minorHAnsi"/>
                <w:lang w:val="en-US"/>
              </w:rPr>
              <w:t>notes</w:t>
            </w:r>
            <w:r w:rsidRPr="00524A62">
              <w:rPr>
                <w:rFonts w:cstheme="minorHAnsi"/>
                <w:lang w:val="en-US" w:eastAsia="en-IN"/>
              </w:rPr>
              <w:t xml:space="preserve"> on </w:t>
            </w:r>
            <w:r w:rsidR="00A21A6A" w:rsidRPr="00524A62">
              <w:rPr>
                <w:rFonts w:cstheme="minorHAnsi"/>
                <w:lang w:val="en-US" w:eastAsia="en-IN"/>
              </w:rPr>
              <w:t>condition_</w:t>
            </w:r>
            <w:r w:rsidRPr="00524A62">
              <w:rPr>
                <w:rFonts w:cstheme="minorHAnsi"/>
                <w:lang w:val="en-US" w:eastAsia="en-IN"/>
              </w:rPr>
              <w:t>2</w:t>
            </w:r>
          </w:p>
        </w:tc>
        <w:tc>
          <w:tcPr>
            <w:tcW w:w="3511" w:type="dxa"/>
            <w:noWrap/>
            <w:hideMark/>
          </w:tcPr>
          <w:p w14:paraId="28E8A3CE" w14:textId="77777777" w:rsidR="00E615C6" w:rsidRPr="00524A62" w:rsidRDefault="00E615C6" w:rsidP="00E615C6">
            <w:pPr>
              <w:rPr>
                <w:rFonts w:cstheme="minorHAnsi"/>
                <w:lang w:val="en-US" w:eastAsia="en-IN"/>
              </w:rPr>
            </w:pPr>
            <w:r w:rsidRPr="00524A62">
              <w:rPr>
                <w:rFonts w:cstheme="minorHAnsi"/>
                <w:lang w:val="en-US" w:eastAsia="en-IN"/>
              </w:rPr>
              <w:t>(see dataset)</w:t>
            </w:r>
          </w:p>
        </w:tc>
      </w:tr>
      <w:tr w:rsidR="00E615C6" w:rsidRPr="00524A62" w14:paraId="1C6F581D" w14:textId="77777777" w:rsidTr="00AF740C">
        <w:trPr>
          <w:trHeight w:val="280"/>
        </w:trPr>
        <w:tc>
          <w:tcPr>
            <w:tcW w:w="2425" w:type="dxa"/>
            <w:noWrap/>
            <w:hideMark/>
          </w:tcPr>
          <w:p w14:paraId="6F1062CA" w14:textId="267FCA60"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rPr>
              <w:t xml:space="preserve"> note</w:t>
            </w:r>
            <w:r w:rsidR="00E615C6" w:rsidRPr="00524A62">
              <w:rPr>
                <w:rFonts w:cstheme="minorHAnsi"/>
                <w:lang w:val="en-US" w:eastAsia="en-IN"/>
              </w:rPr>
              <w:t>s_3</w:t>
            </w:r>
          </w:p>
        </w:tc>
        <w:tc>
          <w:tcPr>
            <w:tcW w:w="3960" w:type="dxa"/>
          </w:tcPr>
          <w:p w14:paraId="62AADC70" w14:textId="4405AB57" w:rsidR="00E615C6" w:rsidRPr="00524A62" w:rsidRDefault="00E615C6" w:rsidP="00E615C6">
            <w:pPr>
              <w:rPr>
                <w:rFonts w:cstheme="minorHAnsi"/>
                <w:lang w:val="en-US" w:eastAsia="en-IN"/>
              </w:rPr>
            </w:pPr>
            <w:r w:rsidRPr="00524A62">
              <w:rPr>
                <w:rFonts w:cstheme="minorHAnsi"/>
                <w:lang w:val="en-US" w:eastAsia="en-IN"/>
              </w:rPr>
              <w:t xml:space="preserve">Any further </w:t>
            </w:r>
            <w:r w:rsidRPr="00524A62">
              <w:rPr>
                <w:rFonts w:cstheme="minorHAnsi"/>
                <w:lang w:val="en-US"/>
              </w:rPr>
              <w:t>notes</w:t>
            </w:r>
            <w:r w:rsidRPr="00524A62">
              <w:rPr>
                <w:rFonts w:cstheme="minorHAnsi"/>
                <w:lang w:val="en-US" w:eastAsia="en-IN"/>
              </w:rPr>
              <w:t xml:space="preserve"> on </w:t>
            </w:r>
            <w:r w:rsidR="00A21A6A" w:rsidRPr="00524A62">
              <w:rPr>
                <w:rFonts w:cstheme="minorHAnsi"/>
                <w:lang w:val="en-US" w:eastAsia="en-IN"/>
              </w:rPr>
              <w:t>condition_</w:t>
            </w:r>
            <w:r w:rsidRPr="00524A62">
              <w:rPr>
                <w:rFonts w:cstheme="minorHAnsi"/>
                <w:lang w:val="en-US" w:eastAsia="en-IN"/>
              </w:rPr>
              <w:t>3</w:t>
            </w:r>
          </w:p>
        </w:tc>
        <w:tc>
          <w:tcPr>
            <w:tcW w:w="3511" w:type="dxa"/>
            <w:noWrap/>
            <w:hideMark/>
          </w:tcPr>
          <w:p w14:paraId="4FD794AC" w14:textId="77777777" w:rsidR="00E615C6" w:rsidRPr="00524A62" w:rsidRDefault="00E615C6" w:rsidP="00E615C6">
            <w:pPr>
              <w:rPr>
                <w:rFonts w:cstheme="minorHAnsi"/>
                <w:lang w:val="en-US" w:eastAsia="en-IN"/>
              </w:rPr>
            </w:pPr>
            <w:r w:rsidRPr="00524A62">
              <w:rPr>
                <w:rFonts w:cstheme="minorHAnsi"/>
                <w:lang w:val="en-US" w:eastAsia="en-IN"/>
              </w:rPr>
              <w:t>(see dataset)</w:t>
            </w:r>
          </w:p>
        </w:tc>
      </w:tr>
      <w:tr w:rsidR="00E615C6" w:rsidRPr="00524A62" w14:paraId="28712983" w14:textId="77777777" w:rsidTr="00AF740C">
        <w:trPr>
          <w:trHeight w:val="280"/>
        </w:trPr>
        <w:tc>
          <w:tcPr>
            <w:tcW w:w="2425" w:type="dxa"/>
            <w:noWrap/>
          </w:tcPr>
          <w:p w14:paraId="730A0BFE" w14:textId="75405FBC"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rPr>
              <w:t xml:space="preserve"> note</w:t>
            </w:r>
            <w:r w:rsidR="00E615C6" w:rsidRPr="00524A62">
              <w:rPr>
                <w:rFonts w:cstheme="minorHAnsi"/>
                <w:lang w:val="en-US" w:eastAsia="en-IN"/>
              </w:rPr>
              <w:t>s_4</w:t>
            </w:r>
          </w:p>
        </w:tc>
        <w:tc>
          <w:tcPr>
            <w:tcW w:w="3960" w:type="dxa"/>
          </w:tcPr>
          <w:p w14:paraId="637B05CF" w14:textId="091D17C6" w:rsidR="00E615C6" w:rsidRPr="00524A62" w:rsidRDefault="00E615C6" w:rsidP="00E615C6">
            <w:pPr>
              <w:rPr>
                <w:rFonts w:cstheme="minorHAnsi"/>
                <w:lang w:val="en-US" w:eastAsia="en-IN"/>
              </w:rPr>
            </w:pPr>
            <w:r w:rsidRPr="00524A62">
              <w:rPr>
                <w:rFonts w:cstheme="minorHAnsi"/>
                <w:lang w:val="en-US" w:eastAsia="en-IN"/>
              </w:rPr>
              <w:t xml:space="preserve">Any further </w:t>
            </w:r>
            <w:r w:rsidRPr="00524A62">
              <w:rPr>
                <w:rFonts w:cstheme="minorHAnsi"/>
                <w:lang w:val="en-US"/>
              </w:rPr>
              <w:t>notes</w:t>
            </w:r>
            <w:r w:rsidRPr="00524A62">
              <w:rPr>
                <w:rFonts w:cstheme="minorHAnsi"/>
                <w:lang w:val="en-US" w:eastAsia="en-IN"/>
              </w:rPr>
              <w:t xml:space="preserve"> on </w:t>
            </w:r>
            <w:r w:rsidR="00A21A6A" w:rsidRPr="00524A62">
              <w:rPr>
                <w:rFonts w:cstheme="minorHAnsi"/>
                <w:lang w:val="en-US" w:eastAsia="en-IN"/>
              </w:rPr>
              <w:t>condition_</w:t>
            </w:r>
            <w:r w:rsidRPr="00524A62">
              <w:rPr>
                <w:rFonts w:cstheme="minorHAnsi"/>
                <w:lang w:val="en-US" w:eastAsia="en-IN"/>
              </w:rPr>
              <w:t>4</w:t>
            </w:r>
          </w:p>
        </w:tc>
        <w:tc>
          <w:tcPr>
            <w:tcW w:w="3511" w:type="dxa"/>
            <w:noWrap/>
          </w:tcPr>
          <w:p w14:paraId="019ABDD4" w14:textId="506D1CBB" w:rsidR="00E615C6" w:rsidRPr="00524A62" w:rsidRDefault="00E615C6" w:rsidP="00E615C6">
            <w:pPr>
              <w:rPr>
                <w:rFonts w:cstheme="minorHAnsi"/>
                <w:lang w:val="en-US" w:eastAsia="en-IN"/>
              </w:rPr>
            </w:pPr>
            <w:r w:rsidRPr="00524A62">
              <w:rPr>
                <w:rFonts w:cstheme="minorHAnsi"/>
                <w:lang w:val="en-US" w:eastAsia="en-IN"/>
              </w:rPr>
              <w:t>(see dataset)</w:t>
            </w:r>
          </w:p>
        </w:tc>
      </w:tr>
      <w:tr w:rsidR="00E615C6" w:rsidRPr="00524A62" w14:paraId="7284B37D" w14:textId="77777777" w:rsidTr="00AF740C">
        <w:trPr>
          <w:trHeight w:val="280"/>
        </w:trPr>
        <w:tc>
          <w:tcPr>
            <w:tcW w:w="2425" w:type="dxa"/>
            <w:noWrap/>
          </w:tcPr>
          <w:p w14:paraId="5398C3E5" w14:textId="10A8FFB8"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rPr>
              <w:t xml:space="preserve"> note</w:t>
            </w:r>
            <w:r w:rsidR="00E615C6" w:rsidRPr="00524A62">
              <w:rPr>
                <w:rFonts w:cstheme="minorHAnsi"/>
                <w:lang w:val="en-US" w:eastAsia="en-IN"/>
              </w:rPr>
              <w:t>s_5</w:t>
            </w:r>
          </w:p>
        </w:tc>
        <w:tc>
          <w:tcPr>
            <w:tcW w:w="3960" w:type="dxa"/>
          </w:tcPr>
          <w:p w14:paraId="26A014FD" w14:textId="109577FC" w:rsidR="00E615C6" w:rsidRPr="00524A62" w:rsidRDefault="00E615C6" w:rsidP="00E615C6">
            <w:pPr>
              <w:rPr>
                <w:rFonts w:cstheme="minorHAnsi"/>
                <w:lang w:val="en-US" w:eastAsia="en-IN"/>
              </w:rPr>
            </w:pPr>
            <w:r w:rsidRPr="00524A62">
              <w:rPr>
                <w:rFonts w:cstheme="minorHAnsi"/>
                <w:lang w:val="en-US" w:eastAsia="en-IN"/>
              </w:rPr>
              <w:t xml:space="preserve">Any further </w:t>
            </w:r>
            <w:r w:rsidRPr="00524A62">
              <w:rPr>
                <w:rFonts w:cstheme="minorHAnsi"/>
                <w:lang w:val="en-US"/>
              </w:rPr>
              <w:t>notes</w:t>
            </w:r>
            <w:r w:rsidRPr="00524A62">
              <w:rPr>
                <w:rFonts w:cstheme="minorHAnsi"/>
                <w:lang w:val="en-US" w:eastAsia="en-IN"/>
              </w:rPr>
              <w:t xml:space="preserve"> on </w:t>
            </w:r>
            <w:r w:rsidR="00A21A6A" w:rsidRPr="00524A62">
              <w:rPr>
                <w:rFonts w:cstheme="minorHAnsi"/>
                <w:lang w:val="en-US" w:eastAsia="en-IN"/>
              </w:rPr>
              <w:t>condition_</w:t>
            </w:r>
            <w:r w:rsidRPr="00524A62">
              <w:rPr>
                <w:rFonts w:cstheme="minorHAnsi"/>
                <w:lang w:val="en-US" w:eastAsia="en-IN"/>
              </w:rPr>
              <w:t>5</w:t>
            </w:r>
          </w:p>
        </w:tc>
        <w:tc>
          <w:tcPr>
            <w:tcW w:w="3511" w:type="dxa"/>
            <w:noWrap/>
          </w:tcPr>
          <w:p w14:paraId="6651FDDB" w14:textId="66712F89" w:rsidR="00E615C6" w:rsidRPr="00524A62" w:rsidRDefault="00E615C6" w:rsidP="00E615C6">
            <w:pPr>
              <w:rPr>
                <w:rFonts w:cstheme="minorHAnsi"/>
                <w:lang w:val="en-US" w:eastAsia="en-IN"/>
              </w:rPr>
            </w:pPr>
            <w:r w:rsidRPr="00524A62">
              <w:rPr>
                <w:rFonts w:cstheme="minorHAnsi"/>
                <w:lang w:val="en-US" w:eastAsia="en-IN"/>
              </w:rPr>
              <w:t>(see dataset)</w:t>
            </w:r>
          </w:p>
        </w:tc>
      </w:tr>
      <w:tr w:rsidR="00E615C6" w:rsidRPr="00524A62" w14:paraId="6C1F3A0D" w14:textId="77777777" w:rsidTr="00AF740C">
        <w:trPr>
          <w:trHeight w:val="280"/>
        </w:trPr>
        <w:tc>
          <w:tcPr>
            <w:tcW w:w="2425" w:type="dxa"/>
            <w:noWrap/>
            <w:hideMark/>
          </w:tcPr>
          <w:p w14:paraId="76940AE7" w14:textId="235BE9AB"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eastAsia="en-IN"/>
              </w:rPr>
              <w:t>unit_1</w:t>
            </w:r>
          </w:p>
        </w:tc>
        <w:tc>
          <w:tcPr>
            <w:tcW w:w="3960" w:type="dxa"/>
          </w:tcPr>
          <w:p w14:paraId="28732CDE" w14:textId="4B8C0C10" w:rsidR="00E615C6" w:rsidRPr="00524A62" w:rsidRDefault="00E615C6" w:rsidP="00E615C6">
            <w:pPr>
              <w:rPr>
                <w:rFonts w:cstheme="minorHAnsi"/>
                <w:lang w:val="en-US" w:eastAsia="en-IN"/>
              </w:rPr>
            </w:pPr>
            <w:r w:rsidRPr="00524A62">
              <w:rPr>
                <w:rFonts w:cstheme="minorHAnsi"/>
                <w:lang w:val="en-US" w:eastAsia="en-IN"/>
              </w:rPr>
              <w:t xml:space="preserve">The unit of </w:t>
            </w:r>
            <w:r w:rsidR="00A21A6A" w:rsidRPr="00524A62">
              <w:rPr>
                <w:rFonts w:cstheme="minorHAnsi"/>
                <w:lang w:val="en-US" w:eastAsia="en-IN"/>
              </w:rPr>
              <w:t>condition_</w:t>
            </w:r>
            <w:r w:rsidRPr="00524A62">
              <w:rPr>
                <w:rFonts w:cstheme="minorHAnsi"/>
                <w:lang w:val="en-US" w:eastAsia="en-IN"/>
              </w:rPr>
              <w:t xml:space="preserve">minimum_1 and </w:t>
            </w:r>
            <w:r w:rsidR="00A21A6A" w:rsidRPr="00524A62">
              <w:rPr>
                <w:rFonts w:cstheme="minorHAnsi"/>
                <w:lang w:val="en-US" w:eastAsia="en-IN"/>
              </w:rPr>
              <w:t>condition_</w:t>
            </w:r>
            <w:r w:rsidRPr="00524A62">
              <w:rPr>
                <w:rFonts w:cstheme="minorHAnsi"/>
                <w:lang w:val="en-US" w:eastAsia="en-IN"/>
              </w:rPr>
              <w:t xml:space="preserve">maximum_1  </w:t>
            </w:r>
          </w:p>
        </w:tc>
        <w:tc>
          <w:tcPr>
            <w:tcW w:w="3511" w:type="dxa"/>
            <w:noWrap/>
            <w:hideMark/>
          </w:tcPr>
          <w:p w14:paraId="658CF851" w14:textId="77777777" w:rsidR="00E615C6" w:rsidRPr="00524A62" w:rsidRDefault="00E615C6" w:rsidP="00E615C6">
            <w:pPr>
              <w:rPr>
                <w:rFonts w:cstheme="minorHAnsi"/>
                <w:lang w:val="en-US" w:eastAsia="en-IN"/>
              </w:rPr>
            </w:pPr>
            <w:r w:rsidRPr="00524A62">
              <w:rPr>
                <w:rFonts w:cstheme="minorHAnsi"/>
                <w:lang w:val="en-US" w:eastAsia="en-IN"/>
              </w:rPr>
              <w:t>kW, years, hours, kWp</w:t>
            </w:r>
          </w:p>
        </w:tc>
      </w:tr>
      <w:tr w:rsidR="00E615C6" w:rsidRPr="00524A62" w14:paraId="36868348" w14:textId="77777777" w:rsidTr="00AF740C">
        <w:trPr>
          <w:trHeight w:val="280"/>
        </w:trPr>
        <w:tc>
          <w:tcPr>
            <w:tcW w:w="2425" w:type="dxa"/>
            <w:noWrap/>
            <w:hideMark/>
          </w:tcPr>
          <w:p w14:paraId="050303E1" w14:textId="5EACD263"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eastAsia="en-IN"/>
              </w:rPr>
              <w:t>unit_2</w:t>
            </w:r>
          </w:p>
        </w:tc>
        <w:tc>
          <w:tcPr>
            <w:tcW w:w="3960" w:type="dxa"/>
          </w:tcPr>
          <w:p w14:paraId="5FB88BA7" w14:textId="7EDE0973" w:rsidR="00E615C6" w:rsidRPr="00524A62" w:rsidRDefault="00E615C6" w:rsidP="00E615C6">
            <w:pPr>
              <w:rPr>
                <w:rFonts w:cstheme="minorHAnsi"/>
                <w:lang w:val="en-US" w:eastAsia="en-IN"/>
              </w:rPr>
            </w:pPr>
            <w:r w:rsidRPr="00524A62">
              <w:rPr>
                <w:rFonts w:cstheme="minorHAnsi"/>
                <w:lang w:val="en-US" w:eastAsia="en-IN"/>
              </w:rPr>
              <w:t xml:space="preserve">The unit of </w:t>
            </w:r>
            <w:r w:rsidR="00A21A6A" w:rsidRPr="00524A62">
              <w:rPr>
                <w:rFonts w:cstheme="minorHAnsi"/>
                <w:lang w:val="en-US" w:eastAsia="en-IN"/>
              </w:rPr>
              <w:t>condition_</w:t>
            </w:r>
            <w:r w:rsidRPr="00524A62">
              <w:rPr>
                <w:rFonts w:cstheme="minorHAnsi"/>
                <w:lang w:val="en-US" w:eastAsia="en-IN"/>
              </w:rPr>
              <w:t xml:space="preserve">minimum_2 and </w:t>
            </w:r>
            <w:r w:rsidR="00A21A6A" w:rsidRPr="00524A62">
              <w:rPr>
                <w:rFonts w:cstheme="minorHAnsi"/>
                <w:lang w:val="en-US" w:eastAsia="en-IN"/>
              </w:rPr>
              <w:t>condition_</w:t>
            </w:r>
            <w:r w:rsidRPr="00524A62">
              <w:rPr>
                <w:rFonts w:cstheme="minorHAnsi"/>
                <w:lang w:val="en-US" w:eastAsia="en-IN"/>
              </w:rPr>
              <w:t>maximum_2</w:t>
            </w:r>
          </w:p>
        </w:tc>
        <w:tc>
          <w:tcPr>
            <w:tcW w:w="3511" w:type="dxa"/>
            <w:noWrap/>
            <w:hideMark/>
          </w:tcPr>
          <w:p w14:paraId="45D2795B" w14:textId="77777777" w:rsidR="00E615C6" w:rsidRPr="00524A62" w:rsidRDefault="00E615C6" w:rsidP="00E615C6">
            <w:pPr>
              <w:rPr>
                <w:rFonts w:cstheme="minorHAnsi"/>
                <w:lang w:val="en-US" w:eastAsia="en-IN"/>
              </w:rPr>
            </w:pPr>
            <w:r w:rsidRPr="00524A62">
              <w:rPr>
                <w:rFonts w:cstheme="minorHAnsi"/>
                <w:lang w:val="en-US" w:eastAsia="en-IN"/>
              </w:rPr>
              <w:t>years, kW</w:t>
            </w:r>
          </w:p>
        </w:tc>
      </w:tr>
      <w:tr w:rsidR="00E615C6" w:rsidRPr="00524A62" w14:paraId="7D6E0313" w14:textId="77777777" w:rsidTr="00AF740C">
        <w:trPr>
          <w:trHeight w:val="280"/>
        </w:trPr>
        <w:tc>
          <w:tcPr>
            <w:tcW w:w="2425" w:type="dxa"/>
            <w:noWrap/>
            <w:hideMark/>
          </w:tcPr>
          <w:p w14:paraId="61673839" w14:textId="3273E8B9" w:rsidR="00E615C6" w:rsidRPr="00524A62" w:rsidRDefault="00A21A6A" w:rsidP="00E615C6">
            <w:pPr>
              <w:rPr>
                <w:rFonts w:cstheme="minorHAnsi"/>
                <w:lang w:val="en-US" w:eastAsia="en-IN"/>
              </w:rPr>
            </w:pPr>
            <w:r w:rsidRPr="00524A62">
              <w:rPr>
                <w:rFonts w:cstheme="minorHAnsi"/>
                <w:lang w:val="en-US" w:eastAsia="en-IN"/>
              </w:rPr>
              <w:t>condition_</w:t>
            </w:r>
            <w:r w:rsidR="00E615C6" w:rsidRPr="00524A62">
              <w:rPr>
                <w:rFonts w:cstheme="minorHAnsi"/>
                <w:lang w:val="en-US" w:eastAsia="en-IN"/>
              </w:rPr>
              <w:t>unit_3</w:t>
            </w:r>
          </w:p>
        </w:tc>
        <w:tc>
          <w:tcPr>
            <w:tcW w:w="3960" w:type="dxa"/>
          </w:tcPr>
          <w:p w14:paraId="4FE4BF18" w14:textId="3DCC1441" w:rsidR="00E615C6" w:rsidRPr="00524A62" w:rsidRDefault="00E615C6" w:rsidP="00E615C6">
            <w:pPr>
              <w:rPr>
                <w:rFonts w:cstheme="minorHAnsi"/>
                <w:lang w:val="en-US" w:eastAsia="en-IN"/>
              </w:rPr>
            </w:pPr>
            <w:r w:rsidRPr="00524A62">
              <w:rPr>
                <w:rFonts w:cstheme="minorHAnsi"/>
                <w:lang w:val="en-US" w:eastAsia="en-IN"/>
              </w:rPr>
              <w:t xml:space="preserve">The unit of </w:t>
            </w:r>
            <w:r w:rsidR="00A21A6A" w:rsidRPr="00524A62">
              <w:rPr>
                <w:rFonts w:cstheme="minorHAnsi"/>
                <w:lang w:val="en-US" w:eastAsia="en-IN"/>
              </w:rPr>
              <w:t>condition_</w:t>
            </w:r>
            <w:r w:rsidRPr="00524A62">
              <w:rPr>
                <w:rFonts w:cstheme="minorHAnsi"/>
                <w:lang w:val="en-US" w:eastAsia="en-IN"/>
              </w:rPr>
              <w:t xml:space="preserve">minimum_3 and </w:t>
            </w:r>
            <w:r w:rsidR="00A21A6A" w:rsidRPr="00524A62">
              <w:rPr>
                <w:rFonts w:cstheme="minorHAnsi"/>
                <w:lang w:val="en-US" w:eastAsia="en-IN"/>
              </w:rPr>
              <w:t>condition_</w:t>
            </w:r>
            <w:r w:rsidRPr="00524A62">
              <w:rPr>
                <w:rFonts w:cstheme="minorHAnsi"/>
                <w:lang w:val="en-US" w:eastAsia="en-IN"/>
              </w:rPr>
              <w:t>maximum_3</w:t>
            </w:r>
          </w:p>
        </w:tc>
        <w:tc>
          <w:tcPr>
            <w:tcW w:w="3511" w:type="dxa"/>
            <w:noWrap/>
            <w:hideMark/>
          </w:tcPr>
          <w:p w14:paraId="1583D423" w14:textId="77777777" w:rsidR="00E615C6" w:rsidRPr="00524A62" w:rsidRDefault="00E615C6" w:rsidP="00E615C6">
            <w:pPr>
              <w:rPr>
                <w:rFonts w:cstheme="minorHAnsi"/>
                <w:lang w:val="en-US" w:eastAsia="en-IN"/>
              </w:rPr>
            </w:pPr>
            <w:r w:rsidRPr="00524A62">
              <w:rPr>
                <w:rFonts w:cstheme="minorHAnsi"/>
                <w:lang w:val="en-US" w:eastAsia="en-IN"/>
              </w:rPr>
              <w:t>kW, kWh</w:t>
            </w:r>
          </w:p>
        </w:tc>
      </w:tr>
      <w:tr w:rsidR="0070629A" w:rsidRPr="00524A62" w14:paraId="5C3A1734" w14:textId="77777777" w:rsidTr="00AF740C">
        <w:trPr>
          <w:trHeight w:val="280"/>
        </w:trPr>
        <w:tc>
          <w:tcPr>
            <w:tcW w:w="2425" w:type="dxa"/>
            <w:noWrap/>
          </w:tcPr>
          <w:p w14:paraId="7BAC22E4" w14:textId="68AE6375" w:rsidR="0070629A" w:rsidRPr="00524A62" w:rsidRDefault="00A21A6A" w:rsidP="0070629A">
            <w:pPr>
              <w:rPr>
                <w:rFonts w:cstheme="minorHAnsi"/>
                <w:lang w:val="en-US" w:eastAsia="en-IN"/>
              </w:rPr>
            </w:pPr>
            <w:r w:rsidRPr="00524A62">
              <w:rPr>
                <w:rFonts w:cstheme="minorHAnsi"/>
                <w:lang w:val="en-US" w:eastAsia="en-IN"/>
              </w:rPr>
              <w:t>condition_</w:t>
            </w:r>
            <w:r w:rsidR="0070629A" w:rsidRPr="00524A62">
              <w:rPr>
                <w:rFonts w:cstheme="minorHAnsi"/>
                <w:lang w:val="en-US" w:eastAsia="en-IN"/>
              </w:rPr>
              <w:t>unit_4</w:t>
            </w:r>
          </w:p>
        </w:tc>
        <w:tc>
          <w:tcPr>
            <w:tcW w:w="3960" w:type="dxa"/>
          </w:tcPr>
          <w:p w14:paraId="15C37526" w14:textId="408600DD" w:rsidR="0070629A" w:rsidRPr="00524A62" w:rsidRDefault="0070629A" w:rsidP="0070629A">
            <w:pPr>
              <w:rPr>
                <w:rFonts w:cstheme="minorHAnsi"/>
                <w:lang w:val="en-US" w:eastAsia="en-IN"/>
              </w:rPr>
            </w:pPr>
            <w:r w:rsidRPr="00524A62">
              <w:rPr>
                <w:rFonts w:cstheme="minorHAnsi"/>
                <w:lang w:val="en-US" w:eastAsia="en-IN"/>
              </w:rPr>
              <w:t xml:space="preserve">The unit of </w:t>
            </w:r>
            <w:r w:rsidR="00A21A6A" w:rsidRPr="00524A62">
              <w:rPr>
                <w:rFonts w:cstheme="minorHAnsi"/>
                <w:lang w:val="en-US" w:eastAsia="en-IN"/>
              </w:rPr>
              <w:t>condition_</w:t>
            </w:r>
            <w:r w:rsidRPr="00524A62">
              <w:rPr>
                <w:rFonts w:cstheme="minorHAnsi"/>
                <w:lang w:val="en-US" w:eastAsia="en-IN"/>
              </w:rPr>
              <w:t>minimum_</w:t>
            </w:r>
            <w:r w:rsidR="00A5002B" w:rsidRPr="00524A62">
              <w:rPr>
                <w:rFonts w:cstheme="minorHAnsi"/>
                <w:lang w:val="en-US" w:eastAsia="en-IN"/>
              </w:rPr>
              <w:t>4</w:t>
            </w:r>
            <w:r w:rsidRPr="00524A62">
              <w:rPr>
                <w:rFonts w:cstheme="minorHAnsi"/>
                <w:lang w:val="en-US" w:eastAsia="en-IN"/>
              </w:rPr>
              <w:t xml:space="preserve"> and </w:t>
            </w:r>
            <w:r w:rsidR="00A21A6A" w:rsidRPr="00524A62">
              <w:rPr>
                <w:rFonts w:cstheme="minorHAnsi"/>
                <w:lang w:val="en-US" w:eastAsia="en-IN"/>
              </w:rPr>
              <w:t>condition_</w:t>
            </w:r>
            <w:r w:rsidRPr="00524A62">
              <w:rPr>
                <w:rFonts w:cstheme="minorHAnsi"/>
                <w:lang w:val="en-US" w:eastAsia="en-IN"/>
              </w:rPr>
              <w:t>maximum_</w:t>
            </w:r>
            <w:r w:rsidR="00A5002B" w:rsidRPr="00524A62">
              <w:rPr>
                <w:rFonts w:cstheme="minorHAnsi"/>
                <w:lang w:val="en-US" w:eastAsia="en-IN"/>
              </w:rPr>
              <w:t>4</w:t>
            </w:r>
          </w:p>
        </w:tc>
        <w:tc>
          <w:tcPr>
            <w:tcW w:w="3511" w:type="dxa"/>
            <w:noWrap/>
          </w:tcPr>
          <w:p w14:paraId="0671F113" w14:textId="7BDCE20C" w:rsidR="0070629A" w:rsidRPr="00524A62" w:rsidRDefault="0070629A" w:rsidP="0070629A">
            <w:pPr>
              <w:rPr>
                <w:rFonts w:cstheme="minorHAnsi"/>
                <w:lang w:val="en-US" w:eastAsia="en-IN"/>
              </w:rPr>
            </w:pPr>
            <w:r w:rsidRPr="00524A62">
              <w:rPr>
                <w:rFonts w:cstheme="minorHAnsi"/>
                <w:lang w:val="en-US" w:eastAsia="en-IN"/>
              </w:rPr>
              <w:t>kW, kWh</w:t>
            </w:r>
          </w:p>
        </w:tc>
      </w:tr>
      <w:tr w:rsidR="0070629A" w:rsidRPr="00524A62" w14:paraId="73515031" w14:textId="77777777" w:rsidTr="00AF740C">
        <w:trPr>
          <w:trHeight w:val="280"/>
        </w:trPr>
        <w:tc>
          <w:tcPr>
            <w:tcW w:w="2425" w:type="dxa"/>
            <w:noWrap/>
          </w:tcPr>
          <w:p w14:paraId="7C319C7B" w14:textId="6471994E" w:rsidR="0070629A" w:rsidRPr="00524A62" w:rsidRDefault="00A21A6A" w:rsidP="0070629A">
            <w:pPr>
              <w:rPr>
                <w:rFonts w:cstheme="minorHAnsi"/>
                <w:lang w:val="en-US" w:eastAsia="en-IN"/>
              </w:rPr>
            </w:pPr>
            <w:r w:rsidRPr="00524A62">
              <w:rPr>
                <w:rFonts w:cstheme="minorHAnsi"/>
                <w:lang w:val="en-US" w:eastAsia="en-IN"/>
              </w:rPr>
              <w:t>condition_</w:t>
            </w:r>
            <w:r w:rsidR="0070629A" w:rsidRPr="00524A62">
              <w:rPr>
                <w:rFonts w:cstheme="minorHAnsi"/>
                <w:lang w:val="en-US" w:eastAsia="en-IN"/>
              </w:rPr>
              <w:t>unit_5</w:t>
            </w:r>
          </w:p>
        </w:tc>
        <w:tc>
          <w:tcPr>
            <w:tcW w:w="3960" w:type="dxa"/>
          </w:tcPr>
          <w:p w14:paraId="164D08D5" w14:textId="7AE8208C" w:rsidR="0070629A" w:rsidRPr="00524A62" w:rsidRDefault="0070629A" w:rsidP="0070629A">
            <w:pPr>
              <w:rPr>
                <w:rFonts w:cstheme="minorHAnsi"/>
                <w:lang w:val="en-US" w:eastAsia="en-IN"/>
              </w:rPr>
            </w:pPr>
            <w:r w:rsidRPr="00524A62">
              <w:rPr>
                <w:rFonts w:cstheme="minorHAnsi"/>
                <w:lang w:val="en-US" w:eastAsia="en-IN"/>
              </w:rPr>
              <w:t xml:space="preserve">The unit of </w:t>
            </w:r>
            <w:r w:rsidR="00A21A6A" w:rsidRPr="00524A62">
              <w:rPr>
                <w:rFonts w:cstheme="minorHAnsi"/>
                <w:lang w:val="en-US" w:eastAsia="en-IN"/>
              </w:rPr>
              <w:t>condition_</w:t>
            </w:r>
            <w:r w:rsidRPr="00524A62">
              <w:rPr>
                <w:rFonts w:cstheme="minorHAnsi"/>
                <w:lang w:val="en-US" w:eastAsia="en-IN"/>
              </w:rPr>
              <w:t>minimum_</w:t>
            </w:r>
            <w:r w:rsidR="00A5002B" w:rsidRPr="00524A62">
              <w:rPr>
                <w:rFonts w:cstheme="minorHAnsi"/>
                <w:lang w:val="en-US" w:eastAsia="en-IN"/>
              </w:rPr>
              <w:t>5</w:t>
            </w:r>
            <w:r w:rsidRPr="00524A62">
              <w:rPr>
                <w:rFonts w:cstheme="minorHAnsi"/>
                <w:lang w:val="en-US" w:eastAsia="en-IN"/>
              </w:rPr>
              <w:t xml:space="preserve"> and </w:t>
            </w:r>
            <w:r w:rsidR="00A21A6A" w:rsidRPr="00524A62">
              <w:rPr>
                <w:rFonts w:cstheme="minorHAnsi"/>
                <w:lang w:val="en-US" w:eastAsia="en-IN"/>
              </w:rPr>
              <w:t>condition_</w:t>
            </w:r>
            <w:r w:rsidRPr="00524A62">
              <w:rPr>
                <w:rFonts w:cstheme="minorHAnsi"/>
                <w:lang w:val="en-US" w:eastAsia="en-IN"/>
              </w:rPr>
              <w:t>maximum_</w:t>
            </w:r>
            <w:r w:rsidR="00A5002B" w:rsidRPr="00524A62">
              <w:rPr>
                <w:rFonts w:cstheme="minorHAnsi"/>
                <w:lang w:val="en-US" w:eastAsia="en-IN"/>
              </w:rPr>
              <w:t>5</w:t>
            </w:r>
          </w:p>
        </w:tc>
        <w:tc>
          <w:tcPr>
            <w:tcW w:w="3511" w:type="dxa"/>
            <w:noWrap/>
          </w:tcPr>
          <w:p w14:paraId="24588775" w14:textId="6CC68F0F" w:rsidR="0070629A" w:rsidRPr="00524A62" w:rsidRDefault="0070629A" w:rsidP="0070629A">
            <w:pPr>
              <w:rPr>
                <w:rFonts w:cstheme="minorHAnsi"/>
                <w:lang w:val="en-US" w:eastAsia="en-IN"/>
              </w:rPr>
            </w:pPr>
            <w:r w:rsidRPr="00524A62">
              <w:rPr>
                <w:rFonts w:cstheme="minorHAnsi"/>
                <w:lang w:val="en-US" w:eastAsia="en-IN"/>
              </w:rPr>
              <w:t>kW, kWh</w:t>
            </w:r>
          </w:p>
        </w:tc>
      </w:tr>
      <w:tr w:rsidR="0070629A" w:rsidRPr="00524A62" w14:paraId="0C65966B" w14:textId="77777777" w:rsidTr="00AF740C">
        <w:trPr>
          <w:trHeight w:val="280"/>
        </w:trPr>
        <w:tc>
          <w:tcPr>
            <w:tcW w:w="2425" w:type="dxa"/>
            <w:noWrap/>
            <w:hideMark/>
          </w:tcPr>
          <w:p w14:paraId="0078F13C" w14:textId="77777777" w:rsidR="0070629A" w:rsidRPr="00524A62" w:rsidRDefault="0070629A" w:rsidP="0070629A">
            <w:pPr>
              <w:rPr>
                <w:rFonts w:cstheme="minorHAnsi"/>
                <w:lang w:val="en-US" w:eastAsia="en-IN"/>
              </w:rPr>
            </w:pPr>
            <w:r w:rsidRPr="00524A62">
              <w:rPr>
                <w:rFonts w:cstheme="minorHAnsi"/>
                <w:lang w:val="en-US" w:eastAsia="en-IN"/>
              </w:rPr>
              <w:t>country</w:t>
            </w:r>
          </w:p>
        </w:tc>
        <w:tc>
          <w:tcPr>
            <w:tcW w:w="3960" w:type="dxa"/>
          </w:tcPr>
          <w:p w14:paraId="3ACB2BB1" w14:textId="77777777" w:rsidR="0070629A" w:rsidRPr="00524A62" w:rsidRDefault="0070629A" w:rsidP="0070629A">
            <w:pPr>
              <w:rPr>
                <w:rFonts w:cstheme="minorHAnsi"/>
                <w:lang w:val="en-US" w:eastAsia="en-IN"/>
              </w:rPr>
            </w:pPr>
            <w:r w:rsidRPr="00524A62">
              <w:rPr>
                <w:rFonts w:cstheme="minorHAnsi"/>
                <w:lang w:val="en-US" w:eastAsia="en-IN"/>
              </w:rPr>
              <w:t>The country where the policy is in force</w:t>
            </w:r>
          </w:p>
        </w:tc>
        <w:tc>
          <w:tcPr>
            <w:tcW w:w="3511" w:type="dxa"/>
            <w:noWrap/>
            <w:hideMark/>
          </w:tcPr>
          <w:p w14:paraId="1F57F52E" w14:textId="77777777" w:rsidR="0070629A" w:rsidRPr="00524A62" w:rsidRDefault="0070629A" w:rsidP="0070629A">
            <w:pPr>
              <w:rPr>
                <w:rFonts w:cstheme="minorHAnsi"/>
                <w:lang w:val="en-US" w:eastAsia="en-IN"/>
              </w:rPr>
            </w:pPr>
            <w:r w:rsidRPr="00524A62">
              <w:rPr>
                <w:rFonts w:cstheme="minorHAnsi"/>
                <w:lang w:val="en-US" w:eastAsia="en-IN"/>
              </w:rPr>
              <w:t>(WB characterization)</w:t>
            </w:r>
          </w:p>
        </w:tc>
      </w:tr>
      <w:tr w:rsidR="0070629A" w:rsidRPr="00524A62" w14:paraId="68A98E3B" w14:textId="77777777" w:rsidTr="00AF740C">
        <w:trPr>
          <w:trHeight w:val="280"/>
        </w:trPr>
        <w:tc>
          <w:tcPr>
            <w:tcW w:w="2425" w:type="dxa"/>
            <w:noWrap/>
          </w:tcPr>
          <w:p w14:paraId="30483CE5" w14:textId="77777777" w:rsidR="0070629A" w:rsidRPr="00524A62" w:rsidRDefault="0070629A" w:rsidP="0070629A">
            <w:pPr>
              <w:rPr>
                <w:rFonts w:cstheme="minorHAnsi"/>
                <w:lang w:val="en-US" w:eastAsia="en-IN"/>
              </w:rPr>
            </w:pPr>
            <w:r w:rsidRPr="00524A62">
              <w:rPr>
                <w:rFonts w:cstheme="minorHAnsi"/>
                <w:lang w:val="en-US"/>
              </w:rPr>
              <w:t>degression_possible</w:t>
            </w:r>
          </w:p>
        </w:tc>
        <w:tc>
          <w:tcPr>
            <w:tcW w:w="3960" w:type="dxa"/>
          </w:tcPr>
          <w:p w14:paraId="5E54F59B" w14:textId="77777777" w:rsidR="0070629A" w:rsidRPr="00524A62" w:rsidRDefault="0070629A" w:rsidP="0070629A">
            <w:pPr>
              <w:rPr>
                <w:rFonts w:cstheme="minorHAnsi"/>
                <w:lang w:val="en-US" w:eastAsia="en-IN"/>
              </w:rPr>
            </w:pPr>
            <w:r w:rsidRPr="00524A62">
              <w:rPr>
                <w:rFonts w:cstheme="minorHAnsi"/>
                <w:lang w:val="en-US" w:eastAsia="en-IN"/>
              </w:rPr>
              <w:t>Whether a degression is present. Some values are coded with “yes” because there was a degression, but insufficient information on the actual level</w:t>
            </w:r>
          </w:p>
        </w:tc>
        <w:tc>
          <w:tcPr>
            <w:tcW w:w="3511" w:type="dxa"/>
            <w:noWrap/>
          </w:tcPr>
          <w:p w14:paraId="7C5F2208" w14:textId="77777777" w:rsidR="0070629A" w:rsidRPr="00524A62" w:rsidRDefault="0070629A" w:rsidP="0070629A">
            <w:pPr>
              <w:rPr>
                <w:rFonts w:cstheme="minorHAnsi"/>
                <w:lang w:val="en-US" w:eastAsia="en-IN"/>
              </w:rPr>
            </w:pPr>
            <w:r w:rsidRPr="00524A62">
              <w:rPr>
                <w:rFonts w:cstheme="minorHAnsi"/>
                <w:lang w:val="en-US" w:eastAsia="en-IN"/>
              </w:rPr>
              <w:t>no, yes</w:t>
            </w:r>
          </w:p>
        </w:tc>
      </w:tr>
      <w:tr w:rsidR="0070629A" w:rsidRPr="00524A62" w14:paraId="060C0594" w14:textId="77777777" w:rsidTr="00AF740C">
        <w:trPr>
          <w:trHeight w:val="280"/>
        </w:trPr>
        <w:tc>
          <w:tcPr>
            <w:tcW w:w="2425" w:type="dxa"/>
            <w:noWrap/>
          </w:tcPr>
          <w:p w14:paraId="4BC25B0E" w14:textId="77777777" w:rsidR="0070629A" w:rsidRPr="00524A62" w:rsidRDefault="0070629A" w:rsidP="0070629A">
            <w:pPr>
              <w:rPr>
                <w:rFonts w:cstheme="minorHAnsi"/>
                <w:lang w:val="en-US" w:eastAsia="en-IN"/>
              </w:rPr>
            </w:pPr>
            <w:r w:rsidRPr="00524A62">
              <w:rPr>
                <w:rFonts w:cstheme="minorHAnsi"/>
                <w:lang w:val="en-US"/>
              </w:rPr>
              <w:t>degression</w:t>
            </w:r>
          </w:p>
        </w:tc>
        <w:tc>
          <w:tcPr>
            <w:tcW w:w="3960" w:type="dxa"/>
          </w:tcPr>
          <w:p w14:paraId="7A2BF7F5" w14:textId="77777777" w:rsidR="0070629A" w:rsidRPr="00524A62" w:rsidRDefault="0070629A" w:rsidP="0070629A">
            <w:pPr>
              <w:rPr>
                <w:rFonts w:cstheme="minorHAnsi"/>
                <w:lang w:val="en-US" w:eastAsia="en-IN"/>
              </w:rPr>
            </w:pPr>
            <w:r w:rsidRPr="00524A62">
              <w:rPr>
                <w:rFonts w:cstheme="minorHAnsi"/>
                <w:lang w:val="en-US" w:eastAsia="en-IN"/>
              </w:rPr>
              <w:t>The decrease in the support level</w:t>
            </w:r>
          </w:p>
        </w:tc>
        <w:tc>
          <w:tcPr>
            <w:tcW w:w="3511" w:type="dxa"/>
            <w:noWrap/>
          </w:tcPr>
          <w:p w14:paraId="03D463F9" w14:textId="77777777" w:rsidR="0070629A" w:rsidRPr="00524A62" w:rsidRDefault="0070629A" w:rsidP="0070629A">
            <w:pPr>
              <w:rPr>
                <w:rFonts w:cstheme="minorHAnsi"/>
                <w:lang w:val="en-US" w:eastAsia="en-IN"/>
              </w:rPr>
            </w:pPr>
            <w:r w:rsidRPr="00524A62">
              <w:rPr>
                <w:rFonts w:cstheme="minorHAnsi"/>
                <w:lang w:val="en-US" w:eastAsia="en-IN"/>
              </w:rPr>
              <w:t>numeric</w:t>
            </w:r>
          </w:p>
        </w:tc>
      </w:tr>
      <w:tr w:rsidR="0070629A" w:rsidRPr="00524A62" w14:paraId="4CA9CB5E" w14:textId="77777777" w:rsidTr="00AF740C">
        <w:trPr>
          <w:trHeight w:val="280"/>
        </w:trPr>
        <w:tc>
          <w:tcPr>
            <w:tcW w:w="2425" w:type="dxa"/>
            <w:noWrap/>
            <w:hideMark/>
          </w:tcPr>
          <w:p w14:paraId="163EA222" w14:textId="77777777" w:rsidR="0070629A" w:rsidRPr="00524A62" w:rsidRDefault="0070629A" w:rsidP="0070629A">
            <w:pPr>
              <w:rPr>
                <w:rFonts w:cstheme="minorHAnsi"/>
                <w:lang w:val="en-US" w:eastAsia="en-IN"/>
              </w:rPr>
            </w:pPr>
            <w:r w:rsidRPr="00524A62">
              <w:rPr>
                <w:rFonts w:cstheme="minorHAnsi"/>
                <w:lang w:val="en-US"/>
              </w:rPr>
              <w:t>degression_unit</w:t>
            </w:r>
          </w:p>
        </w:tc>
        <w:tc>
          <w:tcPr>
            <w:tcW w:w="3960" w:type="dxa"/>
          </w:tcPr>
          <w:p w14:paraId="7BDEC1FF" w14:textId="77777777" w:rsidR="0070629A" w:rsidRPr="00524A62" w:rsidRDefault="0070629A" w:rsidP="0070629A">
            <w:pPr>
              <w:rPr>
                <w:rFonts w:cstheme="minorHAnsi"/>
                <w:lang w:val="en-US" w:eastAsia="en-IN"/>
              </w:rPr>
            </w:pPr>
            <w:r w:rsidRPr="00524A62">
              <w:rPr>
                <w:rFonts w:cstheme="minorHAnsi"/>
                <w:lang w:val="en-US"/>
              </w:rPr>
              <w:t>Unit of decrease</w:t>
            </w:r>
          </w:p>
        </w:tc>
        <w:tc>
          <w:tcPr>
            <w:tcW w:w="3511" w:type="dxa"/>
            <w:noWrap/>
            <w:hideMark/>
          </w:tcPr>
          <w:p w14:paraId="2BC55710" w14:textId="77777777" w:rsidR="0070629A" w:rsidRPr="00524A62" w:rsidRDefault="0070629A" w:rsidP="0070629A">
            <w:pPr>
              <w:rPr>
                <w:rFonts w:cstheme="minorHAnsi"/>
                <w:lang w:val="en-US" w:eastAsia="en-IN"/>
              </w:rPr>
            </w:pPr>
            <w:r w:rsidRPr="00524A62">
              <w:rPr>
                <w:rFonts w:cstheme="minorHAnsi"/>
                <w:lang w:val="en-US" w:eastAsia="en-IN"/>
              </w:rPr>
              <w:t>% per year, % per month, % per quarter, % per 6 months, EUR/year… (see dataset)</w:t>
            </w:r>
          </w:p>
        </w:tc>
      </w:tr>
      <w:tr w:rsidR="00E64897" w:rsidRPr="00524A62" w14:paraId="5EB0CDE8" w14:textId="77777777" w:rsidTr="00AF740C">
        <w:trPr>
          <w:trHeight w:val="280"/>
        </w:trPr>
        <w:tc>
          <w:tcPr>
            <w:tcW w:w="2425" w:type="dxa"/>
            <w:noWrap/>
          </w:tcPr>
          <w:p w14:paraId="5B4FB6CE" w14:textId="72982465" w:rsidR="00E64897" w:rsidRPr="00524A62" w:rsidRDefault="00E64897" w:rsidP="0070629A">
            <w:pPr>
              <w:rPr>
                <w:rFonts w:cstheme="minorHAnsi"/>
                <w:lang w:val="en-US"/>
              </w:rPr>
            </w:pPr>
            <w:r w:rsidRPr="00524A62">
              <w:rPr>
                <w:rFonts w:cstheme="minorHAnsi"/>
                <w:lang w:val="en-US"/>
              </w:rPr>
              <w:t>government_budget</w:t>
            </w:r>
          </w:p>
        </w:tc>
        <w:tc>
          <w:tcPr>
            <w:tcW w:w="3960" w:type="dxa"/>
          </w:tcPr>
          <w:p w14:paraId="1C24D10F" w14:textId="2A1E843D" w:rsidR="00E64897" w:rsidRPr="00524A62" w:rsidRDefault="002B21EB" w:rsidP="0070629A">
            <w:pPr>
              <w:rPr>
                <w:rFonts w:cstheme="minorHAnsi"/>
                <w:lang w:val="en-US"/>
              </w:rPr>
            </w:pPr>
            <w:r w:rsidRPr="00524A62">
              <w:rPr>
                <w:rFonts w:cstheme="minorHAnsi"/>
                <w:lang w:val="en-US"/>
              </w:rPr>
              <w:t>The yearly budget for the support instrument.</w:t>
            </w:r>
          </w:p>
        </w:tc>
        <w:tc>
          <w:tcPr>
            <w:tcW w:w="3511" w:type="dxa"/>
            <w:noWrap/>
          </w:tcPr>
          <w:p w14:paraId="4B74E638" w14:textId="213D0932" w:rsidR="00E64897" w:rsidRPr="00524A62" w:rsidRDefault="002B21EB" w:rsidP="0070629A">
            <w:pPr>
              <w:rPr>
                <w:rFonts w:cstheme="minorHAnsi"/>
                <w:lang w:val="en-US" w:eastAsia="en-IN"/>
              </w:rPr>
            </w:pPr>
            <w:r w:rsidRPr="00524A62">
              <w:rPr>
                <w:rFonts w:cstheme="minorHAnsi"/>
                <w:lang w:val="en-US" w:eastAsia="en-IN"/>
              </w:rPr>
              <w:t>numeric</w:t>
            </w:r>
          </w:p>
        </w:tc>
      </w:tr>
      <w:tr w:rsidR="00E64897" w:rsidRPr="00524A62" w14:paraId="77921DE7" w14:textId="77777777" w:rsidTr="00AF740C">
        <w:trPr>
          <w:trHeight w:val="280"/>
        </w:trPr>
        <w:tc>
          <w:tcPr>
            <w:tcW w:w="2425" w:type="dxa"/>
            <w:noWrap/>
          </w:tcPr>
          <w:p w14:paraId="379B2844" w14:textId="195D3E1B" w:rsidR="00E64897" w:rsidRPr="00524A62" w:rsidRDefault="00E64897" w:rsidP="0070629A">
            <w:pPr>
              <w:rPr>
                <w:rFonts w:cstheme="minorHAnsi"/>
                <w:lang w:val="en-US"/>
              </w:rPr>
            </w:pPr>
            <w:r w:rsidRPr="00524A62">
              <w:rPr>
                <w:rFonts w:cstheme="minorHAnsi"/>
                <w:lang w:val="en-US"/>
              </w:rPr>
              <w:t>government_budget_currency</w:t>
            </w:r>
          </w:p>
        </w:tc>
        <w:tc>
          <w:tcPr>
            <w:tcW w:w="3960" w:type="dxa"/>
          </w:tcPr>
          <w:p w14:paraId="56649769" w14:textId="206C8002" w:rsidR="00E64897" w:rsidRPr="00524A62" w:rsidRDefault="002B21EB" w:rsidP="0070629A">
            <w:pPr>
              <w:rPr>
                <w:rFonts w:cstheme="minorHAnsi"/>
                <w:lang w:val="en-US"/>
              </w:rPr>
            </w:pPr>
            <w:r w:rsidRPr="00524A62">
              <w:rPr>
                <w:rFonts w:cstheme="minorHAnsi"/>
                <w:lang w:val="en-US"/>
              </w:rPr>
              <w:t>The currency of the government budget.</w:t>
            </w:r>
          </w:p>
        </w:tc>
        <w:tc>
          <w:tcPr>
            <w:tcW w:w="3511" w:type="dxa"/>
            <w:noWrap/>
          </w:tcPr>
          <w:p w14:paraId="6C1187C2" w14:textId="5DCD162F" w:rsidR="00E64897" w:rsidRPr="00524A62" w:rsidRDefault="002B21EB" w:rsidP="0070629A">
            <w:pPr>
              <w:rPr>
                <w:rFonts w:cstheme="minorHAnsi"/>
                <w:lang w:val="en-US" w:eastAsia="en-IN"/>
              </w:rPr>
            </w:pPr>
            <w:r w:rsidRPr="00524A62">
              <w:rPr>
                <w:rFonts w:cstheme="minorHAnsi"/>
                <w:lang w:val="en-US" w:eastAsia="en-IN"/>
              </w:rPr>
              <w:t>EUR</w:t>
            </w:r>
          </w:p>
        </w:tc>
      </w:tr>
      <w:tr w:rsidR="0070629A" w:rsidRPr="00524A62" w14:paraId="4BAE60E6" w14:textId="77777777" w:rsidTr="00AF740C">
        <w:trPr>
          <w:trHeight w:val="280"/>
        </w:trPr>
        <w:tc>
          <w:tcPr>
            <w:tcW w:w="2425" w:type="dxa"/>
            <w:noWrap/>
            <w:hideMark/>
          </w:tcPr>
          <w:p w14:paraId="6632B4C5" w14:textId="77777777" w:rsidR="0070629A" w:rsidRPr="00524A62" w:rsidRDefault="0070629A" w:rsidP="0070629A">
            <w:pPr>
              <w:rPr>
                <w:rFonts w:cstheme="minorHAnsi"/>
                <w:lang w:val="en-US" w:eastAsia="en-IN"/>
              </w:rPr>
            </w:pPr>
            <w:r w:rsidRPr="00524A62">
              <w:rPr>
                <w:rFonts w:cstheme="minorHAnsi"/>
                <w:lang w:val="en-US" w:eastAsia="en-IN"/>
              </w:rPr>
              <w:t>level_1</w:t>
            </w:r>
          </w:p>
        </w:tc>
        <w:tc>
          <w:tcPr>
            <w:tcW w:w="3960" w:type="dxa"/>
          </w:tcPr>
          <w:p w14:paraId="424DD2EA" w14:textId="3EECC4C4" w:rsidR="0070629A" w:rsidRPr="00524A62" w:rsidRDefault="0070629A" w:rsidP="0070629A">
            <w:pPr>
              <w:rPr>
                <w:rFonts w:cstheme="minorHAnsi"/>
                <w:lang w:val="en-US" w:eastAsia="en-IN"/>
              </w:rPr>
            </w:pPr>
            <w:r w:rsidRPr="00524A62">
              <w:rPr>
                <w:rFonts w:cstheme="minorHAnsi"/>
                <w:lang w:val="en-US" w:eastAsia="en-IN"/>
              </w:rPr>
              <w:t xml:space="preserve">The amount of support granted if </w:t>
            </w:r>
            <w:r w:rsidR="00A21A6A" w:rsidRPr="00524A62">
              <w:rPr>
                <w:rFonts w:cstheme="minorHAnsi"/>
                <w:lang w:val="en-US" w:eastAsia="en-IN"/>
              </w:rPr>
              <w:t>condition_</w:t>
            </w:r>
            <w:r w:rsidRPr="00524A62">
              <w:rPr>
                <w:rFonts w:cstheme="minorHAnsi"/>
                <w:lang w:val="en-US" w:eastAsia="en-IN"/>
              </w:rPr>
              <w:t>1 is fulfilled</w:t>
            </w:r>
          </w:p>
        </w:tc>
        <w:tc>
          <w:tcPr>
            <w:tcW w:w="3511" w:type="dxa"/>
            <w:noWrap/>
            <w:hideMark/>
          </w:tcPr>
          <w:p w14:paraId="3EA143AF" w14:textId="0F796589" w:rsidR="0070629A" w:rsidRPr="00524A62" w:rsidRDefault="0070629A" w:rsidP="0070629A">
            <w:pPr>
              <w:rPr>
                <w:rFonts w:cstheme="minorHAnsi"/>
                <w:lang w:val="en-US" w:eastAsia="en-IN"/>
              </w:rPr>
            </w:pPr>
            <w:r w:rsidRPr="00524A62">
              <w:rPr>
                <w:rFonts w:cstheme="minorHAnsi"/>
                <w:lang w:val="en-US" w:eastAsia="en-IN"/>
              </w:rPr>
              <w:t>numeric</w:t>
            </w:r>
          </w:p>
        </w:tc>
      </w:tr>
      <w:tr w:rsidR="0070629A" w:rsidRPr="00524A62" w14:paraId="3F04BD1E" w14:textId="77777777" w:rsidTr="00AF740C">
        <w:trPr>
          <w:trHeight w:val="280"/>
        </w:trPr>
        <w:tc>
          <w:tcPr>
            <w:tcW w:w="2425" w:type="dxa"/>
            <w:noWrap/>
            <w:hideMark/>
          </w:tcPr>
          <w:p w14:paraId="7BC8269A" w14:textId="77777777" w:rsidR="0070629A" w:rsidRPr="00524A62" w:rsidRDefault="0070629A" w:rsidP="0070629A">
            <w:pPr>
              <w:rPr>
                <w:rFonts w:cstheme="minorHAnsi"/>
                <w:lang w:val="en-US" w:eastAsia="en-IN"/>
              </w:rPr>
            </w:pPr>
            <w:r w:rsidRPr="00524A62">
              <w:rPr>
                <w:rFonts w:cstheme="minorHAnsi"/>
                <w:lang w:val="en-US" w:eastAsia="en-IN"/>
              </w:rPr>
              <w:lastRenderedPageBreak/>
              <w:t>level_1_currency</w:t>
            </w:r>
          </w:p>
        </w:tc>
        <w:tc>
          <w:tcPr>
            <w:tcW w:w="3960" w:type="dxa"/>
          </w:tcPr>
          <w:p w14:paraId="487DD3FC" w14:textId="77777777" w:rsidR="0070629A" w:rsidRPr="00524A62" w:rsidRDefault="0070629A" w:rsidP="0070629A">
            <w:pPr>
              <w:rPr>
                <w:rFonts w:cstheme="minorHAnsi"/>
                <w:lang w:val="en-US" w:eastAsia="en-IN"/>
              </w:rPr>
            </w:pPr>
            <w:r w:rsidRPr="00524A62">
              <w:rPr>
                <w:rFonts w:cstheme="minorHAnsi"/>
                <w:lang w:val="en-US" w:eastAsia="en-IN"/>
              </w:rPr>
              <w:t>The currency in which the support level was originally recorded for Condition 1</w:t>
            </w:r>
          </w:p>
        </w:tc>
        <w:tc>
          <w:tcPr>
            <w:tcW w:w="3511" w:type="dxa"/>
            <w:noWrap/>
            <w:hideMark/>
          </w:tcPr>
          <w:p w14:paraId="1E3A5612" w14:textId="50FD1E93" w:rsidR="0070629A" w:rsidRPr="00524A62" w:rsidRDefault="00246A76" w:rsidP="0070629A">
            <w:pPr>
              <w:rPr>
                <w:rFonts w:cstheme="minorHAnsi"/>
                <w:lang w:val="en-US" w:eastAsia="en-IN"/>
              </w:rPr>
            </w:pPr>
            <w:r w:rsidRPr="00524A62">
              <w:rPr>
                <w:rFonts w:cstheme="minorHAnsi"/>
                <w:lang w:val="en-US" w:eastAsia="en-IN"/>
              </w:rPr>
              <w:t>EUR</w:t>
            </w:r>
          </w:p>
        </w:tc>
      </w:tr>
      <w:tr w:rsidR="0070629A" w:rsidRPr="00524A62" w14:paraId="0E3EC10D" w14:textId="77777777" w:rsidTr="00AF740C">
        <w:trPr>
          <w:trHeight w:val="280"/>
        </w:trPr>
        <w:tc>
          <w:tcPr>
            <w:tcW w:w="2425" w:type="dxa"/>
            <w:noWrap/>
            <w:hideMark/>
          </w:tcPr>
          <w:p w14:paraId="6D7CABA1" w14:textId="77777777" w:rsidR="0070629A" w:rsidRPr="00524A62" w:rsidRDefault="0070629A" w:rsidP="0070629A">
            <w:pPr>
              <w:rPr>
                <w:rFonts w:cstheme="minorHAnsi"/>
                <w:lang w:val="en-US" w:eastAsia="en-IN"/>
              </w:rPr>
            </w:pPr>
            <w:r w:rsidRPr="00524A62">
              <w:rPr>
                <w:rFonts w:cstheme="minorHAnsi"/>
                <w:lang w:val="en-US" w:eastAsia="en-IN"/>
              </w:rPr>
              <w:t>level_1_unit</w:t>
            </w:r>
          </w:p>
        </w:tc>
        <w:tc>
          <w:tcPr>
            <w:tcW w:w="3960" w:type="dxa"/>
          </w:tcPr>
          <w:p w14:paraId="62D1235E" w14:textId="77777777" w:rsidR="0070629A" w:rsidRPr="00524A62" w:rsidRDefault="0070629A" w:rsidP="0070629A">
            <w:pPr>
              <w:rPr>
                <w:rFonts w:cstheme="minorHAnsi"/>
                <w:lang w:val="en-US" w:eastAsia="en-IN"/>
              </w:rPr>
            </w:pPr>
            <w:r w:rsidRPr="00524A62">
              <w:rPr>
                <w:rFonts w:cstheme="minorHAnsi"/>
                <w:lang w:val="en-US" w:eastAsia="en-IN"/>
              </w:rPr>
              <w:t>The unit that is granted the level of support for Condition 1</w:t>
            </w:r>
          </w:p>
        </w:tc>
        <w:tc>
          <w:tcPr>
            <w:tcW w:w="3511" w:type="dxa"/>
            <w:noWrap/>
            <w:hideMark/>
          </w:tcPr>
          <w:p w14:paraId="0C46ABF0" w14:textId="77777777" w:rsidR="0070629A" w:rsidRPr="00524A62" w:rsidRDefault="0070629A" w:rsidP="0070629A">
            <w:pPr>
              <w:rPr>
                <w:rFonts w:cstheme="minorHAnsi"/>
                <w:lang w:val="en-US" w:eastAsia="en-IN"/>
              </w:rPr>
            </w:pPr>
            <w:r w:rsidRPr="00524A62">
              <w:rPr>
                <w:rFonts w:cstheme="minorHAnsi"/>
                <w:lang w:val="en-US" w:eastAsia="en-IN"/>
              </w:rPr>
              <w:t>kWh, tCO2 equivalent, kWp, kW, tCO2, kWh, per project, Square meters… (see dataset)</w:t>
            </w:r>
          </w:p>
        </w:tc>
      </w:tr>
      <w:tr w:rsidR="0070629A" w:rsidRPr="00524A62" w14:paraId="1E0DCD97" w14:textId="77777777" w:rsidTr="00AF740C">
        <w:trPr>
          <w:trHeight w:val="280"/>
        </w:trPr>
        <w:tc>
          <w:tcPr>
            <w:tcW w:w="2425" w:type="dxa"/>
            <w:noWrap/>
            <w:hideMark/>
          </w:tcPr>
          <w:p w14:paraId="5F317125" w14:textId="77777777" w:rsidR="0070629A" w:rsidRPr="00524A62" w:rsidRDefault="0070629A" w:rsidP="0070629A">
            <w:pPr>
              <w:rPr>
                <w:rFonts w:cstheme="minorHAnsi"/>
                <w:lang w:val="en-US" w:eastAsia="en-IN"/>
              </w:rPr>
            </w:pPr>
            <w:r w:rsidRPr="00524A62">
              <w:rPr>
                <w:rFonts w:cstheme="minorHAnsi"/>
                <w:lang w:val="en-US" w:eastAsia="en-IN"/>
              </w:rPr>
              <w:t>level_2</w:t>
            </w:r>
          </w:p>
        </w:tc>
        <w:tc>
          <w:tcPr>
            <w:tcW w:w="3960" w:type="dxa"/>
          </w:tcPr>
          <w:p w14:paraId="06CE8817" w14:textId="77777777" w:rsidR="0070629A" w:rsidRPr="00524A62" w:rsidRDefault="0070629A" w:rsidP="0070629A">
            <w:pPr>
              <w:rPr>
                <w:rFonts w:cstheme="minorHAnsi"/>
                <w:lang w:val="en-US" w:eastAsia="en-IN"/>
              </w:rPr>
            </w:pPr>
            <w:r w:rsidRPr="00524A62">
              <w:rPr>
                <w:rFonts w:cstheme="minorHAnsi"/>
                <w:lang w:val="en-US" w:eastAsia="en-IN"/>
              </w:rPr>
              <w:t>The amount of support granted for Condition 2</w:t>
            </w:r>
          </w:p>
        </w:tc>
        <w:tc>
          <w:tcPr>
            <w:tcW w:w="3511" w:type="dxa"/>
            <w:noWrap/>
            <w:hideMark/>
          </w:tcPr>
          <w:p w14:paraId="3C478032" w14:textId="77777777" w:rsidR="0070629A" w:rsidRPr="00524A62" w:rsidRDefault="0070629A" w:rsidP="0070629A">
            <w:pPr>
              <w:rPr>
                <w:rFonts w:cstheme="minorHAnsi"/>
                <w:lang w:val="en-US" w:eastAsia="en-IN"/>
              </w:rPr>
            </w:pPr>
            <w:r w:rsidRPr="00524A62">
              <w:rPr>
                <w:rFonts w:cstheme="minorHAnsi"/>
                <w:lang w:val="en-US" w:eastAsia="en-IN"/>
              </w:rPr>
              <w:t>numeric</w:t>
            </w:r>
          </w:p>
        </w:tc>
      </w:tr>
      <w:tr w:rsidR="0070629A" w:rsidRPr="00524A62" w14:paraId="3AD51E4D" w14:textId="77777777" w:rsidTr="00AF740C">
        <w:trPr>
          <w:trHeight w:val="280"/>
        </w:trPr>
        <w:tc>
          <w:tcPr>
            <w:tcW w:w="2425" w:type="dxa"/>
            <w:noWrap/>
            <w:hideMark/>
          </w:tcPr>
          <w:p w14:paraId="1294E204" w14:textId="77777777" w:rsidR="0070629A" w:rsidRPr="00524A62" w:rsidRDefault="0070629A" w:rsidP="0070629A">
            <w:pPr>
              <w:rPr>
                <w:rFonts w:cstheme="minorHAnsi"/>
                <w:lang w:val="en-US" w:eastAsia="en-IN"/>
              </w:rPr>
            </w:pPr>
            <w:r w:rsidRPr="00524A62">
              <w:rPr>
                <w:rFonts w:cstheme="minorHAnsi"/>
                <w:lang w:val="en-US" w:eastAsia="en-IN"/>
              </w:rPr>
              <w:t>level_2_unit</w:t>
            </w:r>
          </w:p>
        </w:tc>
        <w:tc>
          <w:tcPr>
            <w:tcW w:w="3960" w:type="dxa"/>
          </w:tcPr>
          <w:p w14:paraId="74AF63DB" w14:textId="77777777" w:rsidR="0070629A" w:rsidRPr="00524A62" w:rsidRDefault="0070629A" w:rsidP="0070629A">
            <w:pPr>
              <w:rPr>
                <w:rFonts w:cstheme="minorHAnsi"/>
                <w:lang w:val="en-US" w:eastAsia="en-IN"/>
              </w:rPr>
            </w:pPr>
            <w:r w:rsidRPr="00524A62">
              <w:rPr>
                <w:rFonts w:cstheme="minorHAnsi"/>
                <w:lang w:val="en-US" w:eastAsia="en-IN"/>
              </w:rPr>
              <w:t>The unit that is granted the level of support for Condition 2</w:t>
            </w:r>
          </w:p>
        </w:tc>
        <w:tc>
          <w:tcPr>
            <w:tcW w:w="3511" w:type="dxa"/>
            <w:noWrap/>
            <w:hideMark/>
          </w:tcPr>
          <w:p w14:paraId="0796AF70" w14:textId="68EFA591" w:rsidR="0070629A" w:rsidRPr="00524A62" w:rsidRDefault="00905F81" w:rsidP="0070629A">
            <w:pPr>
              <w:rPr>
                <w:rFonts w:cstheme="minorHAnsi"/>
                <w:lang w:val="en-US" w:eastAsia="en-IN"/>
              </w:rPr>
            </w:pPr>
            <w:r w:rsidRPr="00524A62">
              <w:rPr>
                <w:rFonts w:cstheme="minorHAnsi"/>
                <w:lang w:val="en-US" w:eastAsia="en-IN"/>
              </w:rPr>
              <w:t>kW</w:t>
            </w:r>
          </w:p>
        </w:tc>
      </w:tr>
      <w:tr w:rsidR="0070629A" w:rsidRPr="00524A62" w14:paraId="068986AD" w14:textId="77777777" w:rsidTr="00AF740C">
        <w:trPr>
          <w:trHeight w:val="280"/>
        </w:trPr>
        <w:tc>
          <w:tcPr>
            <w:tcW w:w="2425" w:type="dxa"/>
            <w:noWrap/>
          </w:tcPr>
          <w:p w14:paraId="1CF835CF" w14:textId="77777777" w:rsidR="0070629A" w:rsidRPr="00524A62" w:rsidRDefault="0070629A" w:rsidP="0070629A">
            <w:pPr>
              <w:rPr>
                <w:rFonts w:cstheme="minorHAnsi"/>
                <w:lang w:val="en-US" w:eastAsia="en-IN"/>
              </w:rPr>
            </w:pPr>
            <w:r w:rsidRPr="00524A62">
              <w:rPr>
                <w:rFonts w:cstheme="minorHAnsi"/>
                <w:lang w:val="en-US" w:eastAsia="en-IN"/>
              </w:rPr>
              <w:t>level_2_currency</w:t>
            </w:r>
          </w:p>
        </w:tc>
        <w:tc>
          <w:tcPr>
            <w:tcW w:w="3960" w:type="dxa"/>
          </w:tcPr>
          <w:p w14:paraId="793504C3" w14:textId="77777777" w:rsidR="0070629A" w:rsidRPr="00524A62" w:rsidRDefault="0070629A" w:rsidP="0070629A">
            <w:pPr>
              <w:rPr>
                <w:rFonts w:cstheme="minorHAnsi"/>
                <w:lang w:val="en-US" w:eastAsia="en-IN"/>
              </w:rPr>
            </w:pPr>
            <w:r w:rsidRPr="00524A62">
              <w:rPr>
                <w:rFonts w:cstheme="minorHAnsi"/>
                <w:lang w:val="en-US" w:eastAsia="en-IN"/>
              </w:rPr>
              <w:t>The currency in which the support level was originally recorded for Condition 2</w:t>
            </w:r>
          </w:p>
        </w:tc>
        <w:tc>
          <w:tcPr>
            <w:tcW w:w="3511" w:type="dxa"/>
            <w:noWrap/>
          </w:tcPr>
          <w:p w14:paraId="0204A062" w14:textId="77777777" w:rsidR="0070629A" w:rsidRPr="00524A62" w:rsidRDefault="0070629A" w:rsidP="0070629A">
            <w:pPr>
              <w:rPr>
                <w:rFonts w:cstheme="minorHAnsi"/>
                <w:lang w:val="en-US" w:eastAsia="en-IN"/>
              </w:rPr>
            </w:pPr>
            <w:r w:rsidRPr="00524A62">
              <w:rPr>
                <w:rFonts w:cstheme="minorHAnsi"/>
                <w:lang w:val="en-US" w:eastAsia="en-IN"/>
              </w:rPr>
              <w:t>numeric</w:t>
            </w:r>
          </w:p>
        </w:tc>
      </w:tr>
      <w:tr w:rsidR="0070629A" w:rsidRPr="00524A62" w14:paraId="05A4DAFD" w14:textId="77777777" w:rsidTr="00AF740C">
        <w:trPr>
          <w:trHeight w:val="280"/>
        </w:trPr>
        <w:tc>
          <w:tcPr>
            <w:tcW w:w="2425" w:type="dxa"/>
            <w:noWrap/>
            <w:hideMark/>
          </w:tcPr>
          <w:p w14:paraId="650061BB" w14:textId="77777777" w:rsidR="0070629A" w:rsidRPr="00524A62" w:rsidRDefault="0070629A" w:rsidP="0070629A">
            <w:pPr>
              <w:rPr>
                <w:rFonts w:cstheme="minorHAnsi"/>
                <w:lang w:val="en-US" w:eastAsia="en-IN"/>
              </w:rPr>
            </w:pPr>
            <w:r w:rsidRPr="00524A62">
              <w:rPr>
                <w:rFonts w:cstheme="minorHAnsi"/>
                <w:lang w:val="en-US" w:eastAsia="en-IN"/>
              </w:rPr>
              <w:t>level_3</w:t>
            </w:r>
          </w:p>
        </w:tc>
        <w:tc>
          <w:tcPr>
            <w:tcW w:w="3960" w:type="dxa"/>
          </w:tcPr>
          <w:p w14:paraId="5AB22D52" w14:textId="77777777" w:rsidR="0070629A" w:rsidRPr="00524A62" w:rsidRDefault="0070629A" w:rsidP="0070629A">
            <w:pPr>
              <w:rPr>
                <w:rFonts w:cstheme="minorHAnsi"/>
                <w:lang w:val="en-US" w:eastAsia="en-IN"/>
              </w:rPr>
            </w:pPr>
            <w:r w:rsidRPr="00524A62">
              <w:rPr>
                <w:rFonts w:cstheme="minorHAnsi"/>
                <w:lang w:val="en-US" w:eastAsia="en-IN"/>
              </w:rPr>
              <w:t>The amount of support granted for Condition 2</w:t>
            </w:r>
          </w:p>
        </w:tc>
        <w:tc>
          <w:tcPr>
            <w:tcW w:w="3511" w:type="dxa"/>
            <w:noWrap/>
            <w:hideMark/>
          </w:tcPr>
          <w:p w14:paraId="00819103" w14:textId="77777777" w:rsidR="0070629A" w:rsidRPr="00524A62" w:rsidRDefault="0070629A" w:rsidP="0070629A">
            <w:pPr>
              <w:rPr>
                <w:rFonts w:cstheme="minorHAnsi"/>
                <w:lang w:val="en-US" w:eastAsia="en-IN"/>
              </w:rPr>
            </w:pPr>
            <w:r w:rsidRPr="00524A62">
              <w:rPr>
                <w:rFonts w:cstheme="minorHAnsi"/>
                <w:lang w:val="en-US" w:eastAsia="en-IN"/>
              </w:rPr>
              <w:t>numeric</w:t>
            </w:r>
          </w:p>
        </w:tc>
      </w:tr>
      <w:tr w:rsidR="0070629A" w:rsidRPr="00524A62" w14:paraId="082B3645" w14:textId="77777777" w:rsidTr="00AF740C">
        <w:trPr>
          <w:trHeight w:val="280"/>
        </w:trPr>
        <w:tc>
          <w:tcPr>
            <w:tcW w:w="2425" w:type="dxa"/>
            <w:noWrap/>
            <w:hideMark/>
          </w:tcPr>
          <w:p w14:paraId="2071C68C" w14:textId="77777777" w:rsidR="0070629A" w:rsidRPr="00524A62" w:rsidRDefault="0070629A" w:rsidP="0070629A">
            <w:pPr>
              <w:rPr>
                <w:rFonts w:cstheme="minorHAnsi"/>
                <w:lang w:val="en-US" w:eastAsia="en-IN"/>
              </w:rPr>
            </w:pPr>
            <w:r w:rsidRPr="00524A62">
              <w:rPr>
                <w:rFonts w:cstheme="minorHAnsi"/>
                <w:lang w:val="en-US" w:eastAsia="en-IN"/>
              </w:rPr>
              <w:t>level_3_unit</w:t>
            </w:r>
          </w:p>
        </w:tc>
        <w:tc>
          <w:tcPr>
            <w:tcW w:w="3960" w:type="dxa"/>
          </w:tcPr>
          <w:p w14:paraId="47DAB565" w14:textId="77777777" w:rsidR="0070629A" w:rsidRPr="00524A62" w:rsidRDefault="0070629A" w:rsidP="0070629A">
            <w:pPr>
              <w:rPr>
                <w:rFonts w:cstheme="minorHAnsi"/>
                <w:lang w:val="en-US" w:eastAsia="en-IN"/>
              </w:rPr>
            </w:pPr>
            <w:r w:rsidRPr="00524A62">
              <w:rPr>
                <w:rFonts w:cstheme="minorHAnsi"/>
                <w:lang w:val="en-US" w:eastAsia="en-IN"/>
              </w:rPr>
              <w:t>The unit that is granted the level of support for Condition 3</w:t>
            </w:r>
          </w:p>
        </w:tc>
        <w:tc>
          <w:tcPr>
            <w:tcW w:w="3511" w:type="dxa"/>
            <w:noWrap/>
            <w:hideMark/>
          </w:tcPr>
          <w:p w14:paraId="2C6DB7A6" w14:textId="77777777" w:rsidR="0070629A" w:rsidRPr="00524A62" w:rsidRDefault="0070629A" w:rsidP="0070629A">
            <w:pPr>
              <w:rPr>
                <w:rFonts w:cstheme="minorHAnsi"/>
                <w:lang w:val="en-US" w:eastAsia="en-IN"/>
              </w:rPr>
            </w:pPr>
            <w:r w:rsidRPr="00524A62">
              <w:rPr>
                <w:rFonts w:cstheme="minorHAnsi"/>
                <w:lang w:val="en-US" w:eastAsia="en-IN"/>
              </w:rPr>
              <w:t>EUR</w:t>
            </w:r>
          </w:p>
        </w:tc>
      </w:tr>
      <w:tr w:rsidR="0070629A" w:rsidRPr="00524A62" w14:paraId="40893384" w14:textId="77777777" w:rsidTr="00AF740C">
        <w:trPr>
          <w:trHeight w:val="280"/>
        </w:trPr>
        <w:tc>
          <w:tcPr>
            <w:tcW w:w="2425" w:type="dxa"/>
            <w:noWrap/>
          </w:tcPr>
          <w:p w14:paraId="7CCDBC2C" w14:textId="77777777" w:rsidR="0070629A" w:rsidRPr="00524A62" w:rsidRDefault="0070629A" w:rsidP="0070629A">
            <w:pPr>
              <w:rPr>
                <w:rFonts w:cstheme="minorHAnsi"/>
                <w:lang w:val="en-US" w:eastAsia="en-IN"/>
              </w:rPr>
            </w:pPr>
            <w:r w:rsidRPr="00524A62">
              <w:rPr>
                <w:rFonts w:cstheme="minorHAnsi"/>
                <w:lang w:val="en-US" w:eastAsia="en-IN"/>
              </w:rPr>
              <w:t>level_3_currency</w:t>
            </w:r>
          </w:p>
        </w:tc>
        <w:tc>
          <w:tcPr>
            <w:tcW w:w="3960" w:type="dxa"/>
          </w:tcPr>
          <w:p w14:paraId="7BB8CC48" w14:textId="77777777" w:rsidR="0070629A" w:rsidRPr="00524A62" w:rsidRDefault="0070629A" w:rsidP="0070629A">
            <w:pPr>
              <w:rPr>
                <w:rFonts w:cstheme="minorHAnsi"/>
                <w:lang w:val="en-US" w:eastAsia="en-IN"/>
              </w:rPr>
            </w:pPr>
            <w:r w:rsidRPr="00524A62">
              <w:rPr>
                <w:rFonts w:cstheme="minorHAnsi"/>
                <w:lang w:val="en-US" w:eastAsia="en-IN"/>
              </w:rPr>
              <w:t>The currency in which the support level was originally recorded for Condition 3</w:t>
            </w:r>
          </w:p>
        </w:tc>
        <w:tc>
          <w:tcPr>
            <w:tcW w:w="3511" w:type="dxa"/>
            <w:noWrap/>
          </w:tcPr>
          <w:p w14:paraId="7B81E05C" w14:textId="77777777" w:rsidR="0070629A" w:rsidRPr="00524A62" w:rsidRDefault="0070629A" w:rsidP="0070629A">
            <w:pPr>
              <w:rPr>
                <w:rFonts w:cstheme="minorHAnsi"/>
                <w:lang w:val="en-US" w:eastAsia="en-IN"/>
              </w:rPr>
            </w:pPr>
            <w:r w:rsidRPr="00524A62">
              <w:rPr>
                <w:rFonts w:cstheme="minorHAnsi"/>
                <w:lang w:val="en-US" w:eastAsia="en-IN"/>
              </w:rPr>
              <w:t>numeric</w:t>
            </w:r>
          </w:p>
        </w:tc>
      </w:tr>
      <w:tr w:rsidR="0070629A" w:rsidRPr="00524A62" w14:paraId="724A073B" w14:textId="77777777" w:rsidTr="00AF740C">
        <w:trPr>
          <w:trHeight w:val="280"/>
        </w:trPr>
        <w:tc>
          <w:tcPr>
            <w:tcW w:w="2425" w:type="dxa"/>
            <w:noWrap/>
            <w:hideMark/>
          </w:tcPr>
          <w:p w14:paraId="6A8A1FCC" w14:textId="77777777" w:rsidR="0070629A" w:rsidRPr="00524A62" w:rsidRDefault="0070629A" w:rsidP="0070629A">
            <w:pPr>
              <w:rPr>
                <w:rFonts w:cstheme="minorHAnsi"/>
                <w:lang w:val="en-US" w:eastAsia="en-IN"/>
              </w:rPr>
            </w:pPr>
            <w:r w:rsidRPr="00524A62">
              <w:rPr>
                <w:rFonts w:cstheme="minorHAnsi"/>
                <w:lang w:val="en-US"/>
              </w:rPr>
              <w:t>loan_interest_rate</w:t>
            </w:r>
          </w:p>
        </w:tc>
        <w:tc>
          <w:tcPr>
            <w:tcW w:w="3960" w:type="dxa"/>
          </w:tcPr>
          <w:p w14:paraId="4FF2D4F0" w14:textId="77777777" w:rsidR="0070629A" w:rsidRPr="00524A62" w:rsidRDefault="0070629A" w:rsidP="0070629A">
            <w:pPr>
              <w:rPr>
                <w:rFonts w:cstheme="minorHAnsi"/>
                <w:lang w:val="en-US" w:eastAsia="en-IN"/>
              </w:rPr>
            </w:pPr>
            <w:r w:rsidRPr="00524A62">
              <w:rPr>
                <w:rFonts w:cstheme="minorHAnsi"/>
                <w:lang w:val="en-US"/>
              </w:rPr>
              <w:t>The interest rate for the loan</w:t>
            </w:r>
          </w:p>
        </w:tc>
        <w:tc>
          <w:tcPr>
            <w:tcW w:w="3511" w:type="dxa"/>
            <w:noWrap/>
            <w:hideMark/>
          </w:tcPr>
          <w:p w14:paraId="31DFD062" w14:textId="77777777" w:rsidR="0070629A" w:rsidRPr="00524A62" w:rsidRDefault="0070629A" w:rsidP="0070629A">
            <w:pPr>
              <w:rPr>
                <w:rFonts w:cstheme="minorHAnsi"/>
                <w:lang w:val="en-US" w:eastAsia="en-IN"/>
              </w:rPr>
            </w:pPr>
            <w:r w:rsidRPr="00524A62">
              <w:rPr>
                <w:rFonts w:cstheme="minorHAnsi"/>
                <w:lang w:val="en-US" w:eastAsia="en-IN"/>
              </w:rPr>
              <w:t>numeric</w:t>
            </w:r>
          </w:p>
        </w:tc>
      </w:tr>
      <w:tr w:rsidR="0070629A" w:rsidRPr="008D4356" w14:paraId="364BBBEC" w14:textId="77777777" w:rsidTr="00AF740C">
        <w:trPr>
          <w:trHeight w:val="280"/>
        </w:trPr>
        <w:tc>
          <w:tcPr>
            <w:tcW w:w="2425" w:type="dxa"/>
            <w:noWrap/>
            <w:hideMark/>
          </w:tcPr>
          <w:p w14:paraId="5CAD4C8E" w14:textId="007ACD56" w:rsidR="0070629A" w:rsidRPr="00524A62" w:rsidRDefault="0070629A" w:rsidP="0070629A">
            <w:pPr>
              <w:rPr>
                <w:rFonts w:cstheme="minorHAnsi"/>
                <w:lang w:val="en-US" w:eastAsia="en-IN"/>
              </w:rPr>
            </w:pPr>
            <w:r w:rsidRPr="00524A62">
              <w:rPr>
                <w:rFonts w:cstheme="minorHAnsi"/>
                <w:lang w:val="en-US" w:eastAsia="en-IN"/>
              </w:rPr>
              <w:t>measure</w:t>
            </w:r>
          </w:p>
        </w:tc>
        <w:tc>
          <w:tcPr>
            <w:tcW w:w="3960" w:type="dxa"/>
          </w:tcPr>
          <w:p w14:paraId="7F5EC61D" w14:textId="77777777" w:rsidR="0070629A" w:rsidRPr="00524A62" w:rsidRDefault="0070629A" w:rsidP="0070629A">
            <w:pPr>
              <w:rPr>
                <w:rFonts w:cstheme="minorHAnsi"/>
                <w:lang w:val="en-US" w:eastAsia="en-IN"/>
              </w:rPr>
            </w:pPr>
            <w:r w:rsidRPr="00524A62">
              <w:rPr>
                <w:rFonts w:cstheme="minorHAnsi"/>
                <w:lang w:val="en-US" w:eastAsia="en-IN"/>
              </w:rPr>
              <w:t>The policy instrument of analysis</w:t>
            </w:r>
          </w:p>
        </w:tc>
        <w:tc>
          <w:tcPr>
            <w:tcW w:w="3511" w:type="dxa"/>
            <w:noWrap/>
            <w:hideMark/>
          </w:tcPr>
          <w:p w14:paraId="71E34144" w14:textId="19365802" w:rsidR="0070629A" w:rsidRPr="00524A62" w:rsidRDefault="0070629A" w:rsidP="0070629A">
            <w:pPr>
              <w:rPr>
                <w:rFonts w:cstheme="minorHAnsi"/>
                <w:lang w:val="en-US" w:eastAsia="en-IN"/>
              </w:rPr>
            </w:pPr>
            <w:r w:rsidRPr="00524A62">
              <w:rPr>
                <w:rFonts w:cstheme="minorHAnsi"/>
                <w:lang w:val="en-US" w:eastAsia="en-IN"/>
              </w:rPr>
              <w:t xml:space="preserve">fit, premium, tender, tax </w:t>
            </w:r>
            <w:r w:rsidR="00B45B12" w:rsidRPr="00524A62">
              <w:rPr>
                <w:rFonts w:cstheme="minorHAnsi"/>
                <w:lang w:val="en-US" w:eastAsia="en-IN"/>
              </w:rPr>
              <w:t>incentive,</w:t>
            </w:r>
            <w:r w:rsidRPr="00524A62">
              <w:rPr>
                <w:rFonts w:cstheme="minorHAnsi"/>
                <w:lang w:val="en-US" w:eastAsia="en-IN"/>
              </w:rPr>
              <w:t xml:space="preserve"> </w:t>
            </w:r>
            <w:r w:rsidR="00D0252D" w:rsidRPr="00524A62">
              <w:rPr>
                <w:rFonts w:cstheme="minorHAnsi"/>
                <w:lang w:val="en-US" w:eastAsia="en-IN"/>
              </w:rPr>
              <w:t>grant</w:t>
            </w:r>
            <w:r w:rsidRPr="00524A62">
              <w:rPr>
                <w:rFonts w:cstheme="minorHAnsi"/>
                <w:lang w:val="en-US" w:eastAsia="en-IN"/>
              </w:rPr>
              <w:t>, tgc, ETS cap-and-trade, soft loan, loan guarantee</w:t>
            </w:r>
            <w:r w:rsidR="00D0252D" w:rsidRPr="00524A62">
              <w:rPr>
                <w:rFonts w:cstheme="minorHAnsi"/>
                <w:lang w:val="en-US" w:eastAsia="en-IN"/>
              </w:rPr>
              <w:t>, carbon tax</w:t>
            </w:r>
          </w:p>
        </w:tc>
      </w:tr>
      <w:tr w:rsidR="00565A42" w:rsidRPr="00524A62" w14:paraId="7165BC4B" w14:textId="77777777" w:rsidTr="00AF740C">
        <w:trPr>
          <w:trHeight w:val="280"/>
        </w:trPr>
        <w:tc>
          <w:tcPr>
            <w:tcW w:w="2425" w:type="dxa"/>
            <w:noWrap/>
          </w:tcPr>
          <w:p w14:paraId="1603076B" w14:textId="67A8CDB0" w:rsidR="00565A42" w:rsidRPr="00524A62" w:rsidRDefault="00565A42" w:rsidP="0070629A">
            <w:pPr>
              <w:rPr>
                <w:rFonts w:cstheme="minorHAnsi"/>
                <w:lang w:val="en-US" w:eastAsia="en-IN"/>
              </w:rPr>
            </w:pPr>
            <w:r w:rsidRPr="00524A62">
              <w:rPr>
                <w:rFonts w:cstheme="minorHAnsi"/>
                <w:lang w:val="en-US" w:eastAsia="en-IN"/>
              </w:rPr>
              <w:t>month_changed</w:t>
            </w:r>
          </w:p>
        </w:tc>
        <w:tc>
          <w:tcPr>
            <w:tcW w:w="3960" w:type="dxa"/>
          </w:tcPr>
          <w:p w14:paraId="0D40422E" w14:textId="19B4EC3D" w:rsidR="00565A42" w:rsidRPr="00524A62" w:rsidRDefault="00135989" w:rsidP="0070629A">
            <w:pPr>
              <w:rPr>
                <w:rFonts w:cstheme="minorHAnsi"/>
                <w:lang w:val="en-US" w:eastAsia="en-IN"/>
              </w:rPr>
            </w:pPr>
            <w:r w:rsidRPr="00524A62">
              <w:rPr>
                <w:rFonts w:cstheme="minorHAnsi"/>
                <w:lang w:val="en-US" w:eastAsia="en-IN"/>
              </w:rPr>
              <w:t>The month when the policy changed. In some cases (especially for tenders) we also record the date.</w:t>
            </w:r>
          </w:p>
        </w:tc>
        <w:tc>
          <w:tcPr>
            <w:tcW w:w="3511" w:type="dxa"/>
            <w:noWrap/>
          </w:tcPr>
          <w:p w14:paraId="75379BED" w14:textId="2E7970C7" w:rsidR="00565A42" w:rsidRPr="00524A62" w:rsidRDefault="00135989" w:rsidP="0070629A">
            <w:pPr>
              <w:rPr>
                <w:rFonts w:cstheme="minorHAnsi"/>
                <w:lang w:val="en-US" w:eastAsia="en-IN"/>
              </w:rPr>
            </w:pPr>
            <w:r w:rsidRPr="00524A62">
              <w:rPr>
                <w:rFonts w:cstheme="minorHAnsi"/>
                <w:lang w:val="en-US" w:eastAsia="en-IN"/>
              </w:rPr>
              <w:t>(see dataset)</w:t>
            </w:r>
          </w:p>
        </w:tc>
      </w:tr>
      <w:tr w:rsidR="0070629A" w:rsidRPr="00524A62" w14:paraId="319228C0" w14:textId="77777777" w:rsidTr="00AF740C">
        <w:trPr>
          <w:trHeight w:val="280"/>
        </w:trPr>
        <w:tc>
          <w:tcPr>
            <w:tcW w:w="2425" w:type="dxa"/>
            <w:noWrap/>
            <w:hideMark/>
          </w:tcPr>
          <w:p w14:paraId="12752E12" w14:textId="05A657A6" w:rsidR="0070629A" w:rsidRPr="00524A62" w:rsidRDefault="0070629A" w:rsidP="0070629A">
            <w:pPr>
              <w:rPr>
                <w:rFonts w:cstheme="minorHAnsi"/>
                <w:lang w:val="en-US" w:eastAsia="en-IN"/>
              </w:rPr>
            </w:pPr>
            <w:r w:rsidRPr="00524A62">
              <w:rPr>
                <w:rFonts w:cstheme="minorHAnsi"/>
                <w:lang w:val="en-US" w:eastAsia="en-IN"/>
              </w:rPr>
              <w:t>multiple_</w:t>
            </w:r>
            <w:r w:rsidR="002A4B28" w:rsidRPr="00524A62">
              <w:rPr>
                <w:rFonts w:cstheme="minorHAnsi"/>
                <w:lang w:val="en-US" w:eastAsia="en-IN"/>
              </w:rPr>
              <w:t>condition_</w:t>
            </w:r>
            <w:r w:rsidRPr="00524A62">
              <w:rPr>
                <w:rFonts w:cstheme="minorHAnsi"/>
                <w:lang w:val="en-US" w:eastAsia="en-IN"/>
              </w:rPr>
              <w:t>attributes</w:t>
            </w:r>
          </w:p>
        </w:tc>
        <w:tc>
          <w:tcPr>
            <w:tcW w:w="3960" w:type="dxa"/>
          </w:tcPr>
          <w:p w14:paraId="34751A25" w14:textId="27CAA00A" w:rsidR="0070629A" w:rsidRPr="00524A62" w:rsidRDefault="0070629A" w:rsidP="0070629A">
            <w:pPr>
              <w:rPr>
                <w:rFonts w:cstheme="minorHAnsi"/>
                <w:lang w:val="en-US" w:eastAsia="en-IN"/>
              </w:rPr>
            </w:pPr>
            <w:r w:rsidRPr="00524A62">
              <w:rPr>
                <w:rFonts w:cstheme="minorHAnsi"/>
                <w:lang w:val="en-US"/>
              </w:rPr>
              <w:t xml:space="preserve">The condition attribute applies when the policy has multiple conditions. GROUP: Each regulation condition applies separately, such as different levels of </w:t>
            </w:r>
            <w:r w:rsidR="006A0238" w:rsidRPr="00524A62">
              <w:rPr>
                <w:rFonts w:cstheme="minorHAnsi"/>
                <w:lang w:val="en-US"/>
              </w:rPr>
              <w:t>grants</w:t>
            </w:r>
            <w:r w:rsidRPr="00524A62">
              <w:rPr>
                <w:rFonts w:cstheme="minorHAnsi"/>
                <w:lang w:val="en-US"/>
              </w:rPr>
              <w:t xml:space="preserve"> for different emissions thresholds. ALL: All conditions of apply together, and if you do not meet all conditions you do not receive support.</w:t>
            </w:r>
          </w:p>
        </w:tc>
        <w:tc>
          <w:tcPr>
            <w:tcW w:w="3511" w:type="dxa"/>
            <w:noWrap/>
            <w:hideMark/>
          </w:tcPr>
          <w:p w14:paraId="0B78BA5D" w14:textId="77777777" w:rsidR="0070629A" w:rsidRPr="00524A62" w:rsidRDefault="0070629A" w:rsidP="0070629A">
            <w:pPr>
              <w:rPr>
                <w:rFonts w:cstheme="minorHAnsi"/>
                <w:lang w:val="en-US" w:eastAsia="en-IN"/>
              </w:rPr>
            </w:pPr>
            <w:r w:rsidRPr="00524A62">
              <w:rPr>
                <w:rFonts w:cstheme="minorHAnsi"/>
                <w:lang w:val="en-US" w:eastAsia="en-IN"/>
              </w:rPr>
              <w:t>group, all</w:t>
            </w:r>
          </w:p>
        </w:tc>
      </w:tr>
      <w:tr w:rsidR="00CE59F9" w:rsidRPr="00524A62" w14:paraId="39EB4AD5" w14:textId="77777777" w:rsidTr="00AF740C">
        <w:trPr>
          <w:trHeight w:val="280"/>
        </w:trPr>
        <w:tc>
          <w:tcPr>
            <w:tcW w:w="2425" w:type="dxa"/>
            <w:noWrap/>
          </w:tcPr>
          <w:p w14:paraId="2D0CEF8A" w14:textId="5F5D6935" w:rsidR="00CE59F9" w:rsidRPr="00524A62" w:rsidRDefault="00CE59F9" w:rsidP="0070629A">
            <w:pPr>
              <w:rPr>
                <w:rFonts w:cstheme="minorHAnsi"/>
                <w:lang w:val="en-US" w:eastAsia="en-IN"/>
              </w:rPr>
            </w:pPr>
            <w:r w:rsidRPr="00524A62">
              <w:rPr>
                <w:rFonts w:cstheme="minorHAnsi"/>
                <w:lang w:val="en-US" w:eastAsia="en-IN"/>
              </w:rPr>
              <w:t>notes</w:t>
            </w:r>
          </w:p>
        </w:tc>
        <w:tc>
          <w:tcPr>
            <w:tcW w:w="3960" w:type="dxa"/>
          </w:tcPr>
          <w:p w14:paraId="644E3A73" w14:textId="43088CC0" w:rsidR="00CE59F9" w:rsidRPr="00524A62" w:rsidRDefault="00851F9D" w:rsidP="0070629A">
            <w:pPr>
              <w:rPr>
                <w:rFonts w:cstheme="minorHAnsi"/>
                <w:lang w:val="en-US"/>
              </w:rPr>
            </w:pPr>
            <w:r w:rsidRPr="00524A62">
              <w:rPr>
                <w:rFonts w:cstheme="minorHAnsi"/>
                <w:lang w:val="en-US"/>
              </w:rPr>
              <w:t xml:space="preserve">Relevant </w:t>
            </w:r>
            <w:r w:rsidR="0044157E" w:rsidRPr="00524A62">
              <w:rPr>
                <w:rFonts w:cstheme="minorHAnsi"/>
                <w:lang w:val="en-US"/>
              </w:rPr>
              <w:t>notes on the policy and data treatment</w:t>
            </w:r>
          </w:p>
        </w:tc>
        <w:tc>
          <w:tcPr>
            <w:tcW w:w="3511" w:type="dxa"/>
            <w:noWrap/>
          </w:tcPr>
          <w:p w14:paraId="28254C42" w14:textId="4B583A0C" w:rsidR="00CE59F9" w:rsidRPr="00524A62" w:rsidRDefault="00A00EBB" w:rsidP="0070629A">
            <w:pPr>
              <w:rPr>
                <w:rFonts w:cstheme="minorHAnsi"/>
                <w:lang w:val="en-US" w:eastAsia="en-IN"/>
              </w:rPr>
            </w:pPr>
            <w:r w:rsidRPr="00524A62">
              <w:rPr>
                <w:rFonts w:cstheme="minorHAnsi"/>
                <w:lang w:val="en-US" w:eastAsia="en-IN"/>
              </w:rPr>
              <w:t>(see dataset)</w:t>
            </w:r>
          </w:p>
        </w:tc>
      </w:tr>
      <w:tr w:rsidR="0070629A" w:rsidRPr="00524A62" w14:paraId="2B1340C7" w14:textId="77777777" w:rsidTr="00AF740C">
        <w:trPr>
          <w:trHeight w:val="280"/>
        </w:trPr>
        <w:tc>
          <w:tcPr>
            <w:tcW w:w="2425" w:type="dxa"/>
            <w:noWrap/>
            <w:hideMark/>
          </w:tcPr>
          <w:p w14:paraId="4F32129C" w14:textId="77777777" w:rsidR="0070629A" w:rsidRPr="00524A62" w:rsidRDefault="0070629A" w:rsidP="0070629A">
            <w:pPr>
              <w:rPr>
                <w:rFonts w:cstheme="minorHAnsi"/>
                <w:lang w:val="en-US" w:eastAsia="en-IN"/>
              </w:rPr>
            </w:pPr>
            <w:r w:rsidRPr="00524A62">
              <w:rPr>
                <w:rFonts w:cstheme="minorHAnsi"/>
                <w:lang w:val="en-US" w:eastAsia="en-IN"/>
              </w:rPr>
              <w:t>policy_changed</w:t>
            </w:r>
          </w:p>
        </w:tc>
        <w:tc>
          <w:tcPr>
            <w:tcW w:w="3960" w:type="dxa"/>
          </w:tcPr>
          <w:p w14:paraId="4F00C1BD" w14:textId="77777777" w:rsidR="0070629A" w:rsidRPr="00524A62" w:rsidRDefault="0070629A" w:rsidP="0070629A">
            <w:pPr>
              <w:rPr>
                <w:rFonts w:cstheme="minorHAnsi"/>
                <w:lang w:val="en-US" w:eastAsia="en-IN"/>
              </w:rPr>
            </w:pPr>
            <w:r w:rsidRPr="00524A62">
              <w:rPr>
                <w:rFonts w:cstheme="minorHAnsi"/>
                <w:lang w:val="en-US" w:eastAsia="en-IN"/>
              </w:rPr>
              <w:t>Whether or not the policy changed in a given year</w:t>
            </w:r>
          </w:p>
        </w:tc>
        <w:tc>
          <w:tcPr>
            <w:tcW w:w="3511" w:type="dxa"/>
            <w:noWrap/>
            <w:hideMark/>
          </w:tcPr>
          <w:p w14:paraId="6B154C0B" w14:textId="77777777" w:rsidR="0070629A" w:rsidRPr="00524A62" w:rsidRDefault="0070629A" w:rsidP="0070629A">
            <w:pPr>
              <w:rPr>
                <w:rFonts w:cstheme="minorHAnsi"/>
                <w:lang w:val="en-US" w:eastAsia="en-IN"/>
              </w:rPr>
            </w:pPr>
            <w:r w:rsidRPr="00524A62">
              <w:rPr>
                <w:rFonts w:cstheme="minorHAnsi"/>
                <w:lang w:val="en-US" w:eastAsia="en-IN"/>
              </w:rPr>
              <w:t>no, yes</w:t>
            </w:r>
          </w:p>
        </w:tc>
      </w:tr>
      <w:tr w:rsidR="0070629A" w:rsidRPr="00524A62" w14:paraId="349FE353" w14:textId="77777777" w:rsidTr="00AF740C">
        <w:trPr>
          <w:trHeight w:val="280"/>
        </w:trPr>
        <w:tc>
          <w:tcPr>
            <w:tcW w:w="2425" w:type="dxa"/>
            <w:noWrap/>
            <w:hideMark/>
          </w:tcPr>
          <w:p w14:paraId="1CA8D2A9" w14:textId="77777777" w:rsidR="0070629A" w:rsidRPr="00524A62" w:rsidRDefault="0070629A" w:rsidP="0070629A">
            <w:pPr>
              <w:rPr>
                <w:rFonts w:cstheme="minorHAnsi"/>
                <w:lang w:val="en-US" w:eastAsia="en-IN"/>
              </w:rPr>
            </w:pPr>
            <w:r w:rsidRPr="00524A62">
              <w:rPr>
                <w:rFonts w:cstheme="minorHAnsi"/>
                <w:lang w:val="en-US" w:eastAsia="en-IN"/>
              </w:rPr>
              <w:t>policy_changed_detail</w:t>
            </w:r>
          </w:p>
        </w:tc>
        <w:tc>
          <w:tcPr>
            <w:tcW w:w="3960" w:type="dxa"/>
          </w:tcPr>
          <w:p w14:paraId="13A651FF" w14:textId="77777777" w:rsidR="0070629A" w:rsidRPr="00524A62" w:rsidRDefault="0070629A" w:rsidP="0070629A">
            <w:pPr>
              <w:rPr>
                <w:rFonts w:cstheme="minorHAnsi"/>
                <w:lang w:val="en-US" w:eastAsia="en-IN"/>
              </w:rPr>
            </w:pPr>
            <w:r w:rsidRPr="00524A62">
              <w:rPr>
                <w:rFonts w:cstheme="minorHAnsi"/>
                <w:lang w:val="en-US" w:eastAsia="en-IN"/>
              </w:rPr>
              <w:t>Details on how the policy changed</w:t>
            </w:r>
          </w:p>
        </w:tc>
        <w:tc>
          <w:tcPr>
            <w:tcW w:w="3511" w:type="dxa"/>
            <w:noWrap/>
            <w:hideMark/>
          </w:tcPr>
          <w:p w14:paraId="6EA46ABE" w14:textId="77777777" w:rsidR="0070629A" w:rsidRPr="00524A62" w:rsidRDefault="0070629A" w:rsidP="0070629A">
            <w:pPr>
              <w:rPr>
                <w:rFonts w:cstheme="minorHAnsi"/>
                <w:lang w:val="en-US" w:eastAsia="en-IN"/>
              </w:rPr>
            </w:pPr>
            <w:r w:rsidRPr="00524A62">
              <w:rPr>
                <w:rFonts w:cstheme="minorHAnsi"/>
                <w:lang w:val="en-US" w:eastAsia="en-IN"/>
              </w:rPr>
              <w:t xml:space="preserve">introduced, support level increased, support duration changed … (see dataset) </w:t>
            </w:r>
          </w:p>
        </w:tc>
      </w:tr>
      <w:tr w:rsidR="008E5345" w:rsidRPr="00524A62" w14:paraId="593B1052" w14:textId="77777777" w:rsidTr="00AF740C">
        <w:trPr>
          <w:trHeight w:val="280"/>
        </w:trPr>
        <w:tc>
          <w:tcPr>
            <w:tcW w:w="2425" w:type="dxa"/>
            <w:noWrap/>
          </w:tcPr>
          <w:p w14:paraId="4D33DA77" w14:textId="6BF296A6" w:rsidR="008E5345" w:rsidRPr="00524A62" w:rsidRDefault="008E5345" w:rsidP="0070629A">
            <w:pPr>
              <w:rPr>
                <w:rFonts w:cstheme="minorHAnsi"/>
                <w:lang w:val="en-US" w:eastAsia="en-IN"/>
              </w:rPr>
            </w:pPr>
            <w:r w:rsidRPr="00524A62">
              <w:rPr>
                <w:rFonts w:cstheme="minorHAnsi"/>
                <w:lang w:val="en-US" w:eastAsia="en-IN"/>
              </w:rPr>
              <w:t>policy_changed_harmonized</w:t>
            </w:r>
          </w:p>
        </w:tc>
        <w:tc>
          <w:tcPr>
            <w:tcW w:w="3960" w:type="dxa"/>
          </w:tcPr>
          <w:p w14:paraId="5950E4F7" w14:textId="2C119781" w:rsidR="008E5345" w:rsidRPr="00524A62" w:rsidRDefault="00F66148" w:rsidP="0070629A">
            <w:pPr>
              <w:rPr>
                <w:rFonts w:cstheme="minorHAnsi"/>
                <w:lang w:val="en-US" w:eastAsia="en-IN"/>
              </w:rPr>
            </w:pPr>
            <w:r w:rsidRPr="00524A62">
              <w:rPr>
                <w:rFonts w:cstheme="minorHAnsi"/>
                <w:lang w:val="en-US" w:eastAsia="en-IN"/>
              </w:rPr>
              <w:t xml:space="preserve">the harmonized version of policy_changed_detail for </w:t>
            </w:r>
            <w:r w:rsidR="009F7956" w:rsidRPr="00524A62">
              <w:rPr>
                <w:rFonts w:cstheme="minorHAnsi"/>
                <w:lang w:val="en-US" w:eastAsia="en-IN"/>
              </w:rPr>
              <w:t>legibility</w:t>
            </w:r>
          </w:p>
        </w:tc>
        <w:tc>
          <w:tcPr>
            <w:tcW w:w="3511" w:type="dxa"/>
            <w:noWrap/>
          </w:tcPr>
          <w:p w14:paraId="0F6CBA7D" w14:textId="4BA505F3" w:rsidR="008E5345" w:rsidRPr="00524A62" w:rsidRDefault="00CB514D" w:rsidP="0070629A">
            <w:pPr>
              <w:rPr>
                <w:rFonts w:cstheme="minorHAnsi"/>
                <w:lang w:val="en-US" w:eastAsia="en-IN"/>
              </w:rPr>
            </w:pPr>
            <w:r w:rsidRPr="00524A62">
              <w:rPr>
                <w:rFonts w:cstheme="minorHAnsi"/>
                <w:lang w:val="en-US" w:eastAsia="en-IN"/>
              </w:rPr>
              <w:t>(see dataset)</w:t>
            </w:r>
          </w:p>
        </w:tc>
      </w:tr>
      <w:tr w:rsidR="00837768" w:rsidRPr="00524A62" w14:paraId="1FC01005" w14:textId="77777777" w:rsidTr="00AF740C">
        <w:trPr>
          <w:trHeight w:val="280"/>
        </w:trPr>
        <w:tc>
          <w:tcPr>
            <w:tcW w:w="2425" w:type="dxa"/>
            <w:noWrap/>
          </w:tcPr>
          <w:p w14:paraId="7BF8CE1E" w14:textId="4D5FDFDD" w:rsidR="00837768" w:rsidRPr="00524A62" w:rsidRDefault="00837768" w:rsidP="0070629A">
            <w:pPr>
              <w:rPr>
                <w:rFonts w:cstheme="minorHAnsi"/>
                <w:lang w:val="en-US" w:eastAsia="en-IN"/>
              </w:rPr>
            </w:pPr>
            <w:r w:rsidRPr="00524A62">
              <w:rPr>
                <w:rFonts w:cstheme="minorHAnsi"/>
                <w:lang w:val="en-US" w:eastAsia="en-IN"/>
              </w:rPr>
              <w:t>policy_ID</w:t>
            </w:r>
          </w:p>
        </w:tc>
        <w:tc>
          <w:tcPr>
            <w:tcW w:w="3960" w:type="dxa"/>
          </w:tcPr>
          <w:p w14:paraId="1308593A" w14:textId="2A1DE2D1" w:rsidR="00837768" w:rsidRPr="00524A62" w:rsidRDefault="00837768" w:rsidP="0070629A">
            <w:pPr>
              <w:rPr>
                <w:rFonts w:cstheme="minorHAnsi"/>
                <w:lang w:val="en-US" w:eastAsia="en-IN"/>
              </w:rPr>
            </w:pPr>
            <w:r w:rsidRPr="00524A62">
              <w:rPr>
                <w:rFonts w:cstheme="minorHAnsi"/>
                <w:lang w:val="en-US" w:eastAsia="en-IN"/>
              </w:rPr>
              <w:t>The policy identifier from Climate Policy Database (CPDB). Note that the matching is not fully complete at this stage.</w:t>
            </w:r>
          </w:p>
        </w:tc>
        <w:tc>
          <w:tcPr>
            <w:tcW w:w="3511" w:type="dxa"/>
            <w:noWrap/>
          </w:tcPr>
          <w:p w14:paraId="4253B127" w14:textId="18DE7BF7" w:rsidR="00837768" w:rsidRPr="00524A62" w:rsidRDefault="003A483C" w:rsidP="0070629A">
            <w:pPr>
              <w:rPr>
                <w:rFonts w:cstheme="minorHAnsi"/>
                <w:lang w:val="en-US" w:eastAsia="en-IN"/>
              </w:rPr>
            </w:pPr>
            <w:r w:rsidRPr="00524A62">
              <w:rPr>
                <w:rFonts w:cstheme="minorHAnsi"/>
                <w:lang w:val="en-US" w:eastAsia="en-IN"/>
              </w:rPr>
              <w:t>(see dataset)</w:t>
            </w:r>
          </w:p>
        </w:tc>
      </w:tr>
      <w:tr w:rsidR="00871278" w:rsidRPr="00524A62" w14:paraId="39F12AFF" w14:textId="77777777" w:rsidTr="00AF740C">
        <w:trPr>
          <w:trHeight w:val="280"/>
        </w:trPr>
        <w:tc>
          <w:tcPr>
            <w:tcW w:w="2425" w:type="dxa"/>
            <w:noWrap/>
          </w:tcPr>
          <w:p w14:paraId="766124F8" w14:textId="355B919B" w:rsidR="00871278" w:rsidRPr="00524A62" w:rsidRDefault="00FD04AF" w:rsidP="0070629A">
            <w:pPr>
              <w:rPr>
                <w:rFonts w:cstheme="minorHAnsi"/>
                <w:lang w:val="en-US" w:eastAsia="en-IN"/>
              </w:rPr>
            </w:pPr>
            <w:r w:rsidRPr="00524A62">
              <w:rPr>
                <w:rFonts w:cstheme="minorHAnsi"/>
                <w:lang w:val="en-US" w:eastAsia="en-IN"/>
              </w:rPr>
              <w:lastRenderedPageBreak/>
              <w:t>P</w:t>
            </w:r>
            <w:r w:rsidR="00871278" w:rsidRPr="00524A62">
              <w:rPr>
                <w:rFonts w:cstheme="minorHAnsi"/>
                <w:lang w:val="en-US" w:eastAsia="en-IN"/>
              </w:rPr>
              <w:t>olicy_name</w:t>
            </w:r>
          </w:p>
        </w:tc>
        <w:tc>
          <w:tcPr>
            <w:tcW w:w="3960" w:type="dxa"/>
          </w:tcPr>
          <w:p w14:paraId="07D439E1" w14:textId="3324DF52" w:rsidR="00871278" w:rsidRPr="00524A62" w:rsidRDefault="00884E90" w:rsidP="0070629A">
            <w:pPr>
              <w:rPr>
                <w:rFonts w:cstheme="minorHAnsi"/>
                <w:lang w:val="en-US" w:eastAsia="en-IN"/>
              </w:rPr>
            </w:pPr>
            <w:r w:rsidRPr="00524A62">
              <w:rPr>
                <w:rFonts w:cstheme="minorHAnsi"/>
                <w:lang w:val="en-US" w:eastAsia="en-IN"/>
              </w:rPr>
              <w:t>The name of the policy</w:t>
            </w:r>
            <w:r w:rsidR="00EB061B" w:rsidRPr="00524A62">
              <w:rPr>
                <w:rFonts w:cstheme="minorHAnsi"/>
                <w:lang w:val="en-US" w:eastAsia="en-IN"/>
              </w:rPr>
              <w:t xml:space="preserve"> (or policies) that create the instrument.</w:t>
            </w:r>
          </w:p>
        </w:tc>
        <w:tc>
          <w:tcPr>
            <w:tcW w:w="3511" w:type="dxa"/>
            <w:noWrap/>
          </w:tcPr>
          <w:p w14:paraId="73BD22E9" w14:textId="6CA5CD29" w:rsidR="00871278" w:rsidRPr="00524A62" w:rsidRDefault="00246A76" w:rsidP="0070629A">
            <w:pPr>
              <w:rPr>
                <w:rFonts w:cstheme="minorHAnsi"/>
                <w:lang w:val="en-US" w:eastAsia="en-IN"/>
              </w:rPr>
            </w:pPr>
            <w:r w:rsidRPr="00524A62">
              <w:rPr>
                <w:rFonts w:cstheme="minorHAnsi"/>
                <w:lang w:val="en-US" w:eastAsia="en-IN"/>
              </w:rPr>
              <w:t>(see dataset)</w:t>
            </w:r>
          </w:p>
        </w:tc>
      </w:tr>
      <w:tr w:rsidR="00FD04AF" w:rsidRPr="008D4356" w14:paraId="44315B62" w14:textId="77777777" w:rsidTr="00AF740C">
        <w:trPr>
          <w:trHeight w:val="280"/>
        </w:trPr>
        <w:tc>
          <w:tcPr>
            <w:tcW w:w="2425" w:type="dxa"/>
            <w:noWrap/>
          </w:tcPr>
          <w:p w14:paraId="1B55D836" w14:textId="64E00808" w:rsidR="00FD04AF" w:rsidRPr="00524A62" w:rsidRDefault="00FD04AF" w:rsidP="0070629A">
            <w:pPr>
              <w:rPr>
                <w:rFonts w:cstheme="minorHAnsi"/>
                <w:lang w:val="en-US" w:eastAsia="en-IN"/>
              </w:rPr>
            </w:pPr>
            <w:r w:rsidRPr="00524A62">
              <w:rPr>
                <w:rFonts w:cstheme="minorHAnsi"/>
                <w:lang w:val="en-US" w:eastAsia="en-IN"/>
              </w:rPr>
              <w:t>premium_type</w:t>
            </w:r>
          </w:p>
        </w:tc>
        <w:tc>
          <w:tcPr>
            <w:tcW w:w="3960" w:type="dxa"/>
          </w:tcPr>
          <w:p w14:paraId="475455D3" w14:textId="658212F0" w:rsidR="00FD04AF" w:rsidRPr="00524A62" w:rsidRDefault="00FD04AF" w:rsidP="0070629A">
            <w:pPr>
              <w:rPr>
                <w:rFonts w:cstheme="minorHAnsi"/>
                <w:lang w:val="en-US" w:eastAsia="en-IN"/>
              </w:rPr>
            </w:pPr>
            <w:r w:rsidRPr="00524A62">
              <w:rPr>
                <w:rFonts w:cstheme="minorHAnsi"/>
                <w:lang w:val="en-US" w:eastAsia="en-IN"/>
              </w:rPr>
              <w:t>The type of feed-in premium awarded.</w:t>
            </w:r>
          </w:p>
        </w:tc>
        <w:tc>
          <w:tcPr>
            <w:tcW w:w="3511" w:type="dxa"/>
            <w:noWrap/>
          </w:tcPr>
          <w:p w14:paraId="096D6110" w14:textId="584953DE" w:rsidR="00FD04AF" w:rsidRPr="00524A62" w:rsidRDefault="00FD04AF" w:rsidP="0070629A">
            <w:pPr>
              <w:rPr>
                <w:rFonts w:cstheme="minorHAnsi"/>
                <w:lang w:val="en-US" w:eastAsia="en-IN"/>
              </w:rPr>
            </w:pPr>
            <w:r w:rsidRPr="00524A62">
              <w:rPr>
                <w:rFonts w:cstheme="minorHAnsi"/>
                <w:lang w:val="en-US" w:eastAsia="en-IN"/>
              </w:rPr>
              <w:t>fixed, one-sided floating, two-sided floating, other</w:t>
            </w:r>
          </w:p>
        </w:tc>
      </w:tr>
      <w:tr w:rsidR="00764429" w:rsidRPr="00524A62" w14:paraId="3144F5BF" w14:textId="77777777" w:rsidTr="00AF740C">
        <w:trPr>
          <w:trHeight w:val="280"/>
        </w:trPr>
        <w:tc>
          <w:tcPr>
            <w:tcW w:w="2425" w:type="dxa"/>
            <w:noWrap/>
          </w:tcPr>
          <w:p w14:paraId="3F2EC1C2" w14:textId="0A35EE1B" w:rsidR="00764429" w:rsidRPr="00524A62" w:rsidRDefault="00764429" w:rsidP="0070629A">
            <w:pPr>
              <w:rPr>
                <w:rFonts w:cstheme="minorHAnsi"/>
                <w:lang w:val="en-US" w:eastAsia="en-IN"/>
              </w:rPr>
            </w:pPr>
            <w:r w:rsidRPr="00524A62">
              <w:rPr>
                <w:rFonts w:cstheme="minorHAnsi"/>
                <w:lang w:val="en-US" w:eastAsia="en-IN"/>
              </w:rPr>
              <w:t>refprice</w:t>
            </w:r>
          </w:p>
        </w:tc>
        <w:tc>
          <w:tcPr>
            <w:tcW w:w="3960" w:type="dxa"/>
          </w:tcPr>
          <w:p w14:paraId="7FCBF2C3" w14:textId="5391E705" w:rsidR="00764429" w:rsidRPr="00524A62" w:rsidRDefault="005F2AEA" w:rsidP="0070629A">
            <w:pPr>
              <w:rPr>
                <w:rFonts w:cstheme="minorHAnsi"/>
                <w:lang w:val="en-US" w:eastAsia="en-IN"/>
              </w:rPr>
            </w:pPr>
            <w:r w:rsidRPr="00524A62">
              <w:rPr>
                <w:rFonts w:cstheme="minorHAnsi"/>
                <w:lang w:val="en-US" w:eastAsia="en-IN"/>
              </w:rPr>
              <w:t>The reference price level (for feed-in premiums and auctions with feed-in premiums)</w:t>
            </w:r>
          </w:p>
        </w:tc>
        <w:tc>
          <w:tcPr>
            <w:tcW w:w="3511" w:type="dxa"/>
            <w:noWrap/>
          </w:tcPr>
          <w:p w14:paraId="4E2D0C7D" w14:textId="2DA68353" w:rsidR="00764429" w:rsidRPr="00524A62" w:rsidRDefault="005F2AEA" w:rsidP="0070629A">
            <w:pPr>
              <w:rPr>
                <w:rFonts w:cstheme="minorHAnsi"/>
                <w:lang w:val="en-US" w:eastAsia="en-IN"/>
              </w:rPr>
            </w:pPr>
            <w:r w:rsidRPr="00524A62">
              <w:rPr>
                <w:rFonts w:cstheme="minorHAnsi"/>
                <w:lang w:val="en-US" w:eastAsia="en-IN"/>
              </w:rPr>
              <w:t>numeric</w:t>
            </w:r>
          </w:p>
        </w:tc>
      </w:tr>
      <w:tr w:rsidR="00764429" w:rsidRPr="00524A62" w14:paraId="0C294797" w14:textId="77777777" w:rsidTr="00AF740C">
        <w:trPr>
          <w:trHeight w:val="280"/>
        </w:trPr>
        <w:tc>
          <w:tcPr>
            <w:tcW w:w="2425" w:type="dxa"/>
            <w:noWrap/>
          </w:tcPr>
          <w:p w14:paraId="6AA897BD" w14:textId="0CDF3384" w:rsidR="00764429" w:rsidRPr="00524A62" w:rsidRDefault="00764429" w:rsidP="0070629A">
            <w:pPr>
              <w:rPr>
                <w:rFonts w:cstheme="minorHAnsi"/>
                <w:lang w:val="en-US" w:eastAsia="en-IN"/>
              </w:rPr>
            </w:pPr>
            <w:r w:rsidRPr="00524A62">
              <w:rPr>
                <w:rFonts w:cstheme="minorHAnsi"/>
                <w:lang w:val="en-US" w:eastAsia="en-IN"/>
              </w:rPr>
              <w:t>refprice_currency</w:t>
            </w:r>
          </w:p>
        </w:tc>
        <w:tc>
          <w:tcPr>
            <w:tcW w:w="3960" w:type="dxa"/>
          </w:tcPr>
          <w:p w14:paraId="60D219DB" w14:textId="62A68B63" w:rsidR="00764429" w:rsidRPr="00524A62" w:rsidRDefault="005F2AEA" w:rsidP="0070629A">
            <w:pPr>
              <w:rPr>
                <w:rFonts w:cstheme="minorHAnsi"/>
                <w:lang w:val="en-US" w:eastAsia="en-IN"/>
              </w:rPr>
            </w:pPr>
            <w:r w:rsidRPr="00524A62">
              <w:rPr>
                <w:rFonts w:cstheme="minorHAnsi"/>
                <w:lang w:val="en-US" w:eastAsia="en-IN"/>
              </w:rPr>
              <w:t>The reference price currency (for feed-in premiums and auctions with feed-in premiums)</w:t>
            </w:r>
          </w:p>
        </w:tc>
        <w:tc>
          <w:tcPr>
            <w:tcW w:w="3511" w:type="dxa"/>
            <w:noWrap/>
          </w:tcPr>
          <w:p w14:paraId="7736CB7C" w14:textId="556BD2D6" w:rsidR="00764429" w:rsidRPr="00524A62" w:rsidRDefault="005F2AEA" w:rsidP="0070629A">
            <w:pPr>
              <w:rPr>
                <w:rFonts w:cstheme="minorHAnsi"/>
                <w:lang w:val="en-US" w:eastAsia="en-IN"/>
              </w:rPr>
            </w:pPr>
            <w:r w:rsidRPr="00524A62">
              <w:rPr>
                <w:rFonts w:cstheme="minorHAnsi"/>
                <w:lang w:val="en-US" w:eastAsia="en-IN"/>
              </w:rPr>
              <w:t>EUR</w:t>
            </w:r>
          </w:p>
        </w:tc>
      </w:tr>
      <w:tr w:rsidR="00764429" w:rsidRPr="00524A62" w14:paraId="0B960E6E" w14:textId="77777777" w:rsidTr="00AF740C">
        <w:trPr>
          <w:trHeight w:val="280"/>
        </w:trPr>
        <w:tc>
          <w:tcPr>
            <w:tcW w:w="2425" w:type="dxa"/>
            <w:noWrap/>
          </w:tcPr>
          <w:p w14:paraId="01848ADB" w14:textId="49710DD0" w:rsidR="00764429" w:rsidRPr="00524A62" w:rsidRDefault="00764429" w:rsidP="0070629A">
            <w:pPr>
              <w:rPr>
                <w:rFonts w:cstheme="minorHAnsi"/>
                <w:lang w:val="en-US" w:eastAsia="en-IN"/>
              </w:rPr>
            </w:pPr>
            <w:r w:rsidRPr="00524A62">
              <w:rPr>
                <w:rFonts w:cstheme="minorHAnsi"/>
                <w:lang w:val="en-US" w:eastAsia="en-IN"/>
              </w:rPr>
              <w:t>refprice_unit</w:t>
            </w:r>
          </w:p>
        </w:tc>
        <w:tc>
          <w:tcPr>
            <w:tcW w:w="3960" w:type="dxa"/>
          </w:tcPr>
          <w:p w14:paraId="54CFB14C" w14:textId="448EA932" w:rsidR="00764429" w:rsidRPr="00524A62" w:rsidRDefault="00F75DF3" w:rsidP="0070629A">
            <w:pPr>
              <w:rPr>
                <w:rFonts w:cstheme="minorHAnsi"/>
                <w:lang w:val="en-US" w:eastAsia="en-IN"/>
              </w:rPr>
            </w:pPr>
            <w:r w:rsidRPr="00524A62">
              <w:rPr>
                <w:rFonts w:cstheme="minorHAnsi"/>
                <w:lang w:val="en-US" w:eastAsia="en-IN"/>
              </w:rPr>
              <w:t>The reference price unit (for feed-in premiums and auctions with feed-in premiums)</w:t>
            </w:r>
          </w:p>
        </w:tc>
        <w:tc>
          <w:tcPr>
            <w:tcW w:w="3511" w:type="dxa"/>
            <w:noWrap/>
          </w:tcPr>
          <w:p w14:paraId="3ED1A43A" w14:textId="68D9F55A" w:rsidR="00764429" w:rsidRPr="00524A62" w:rsidRDefault="00F75DF3" w:rsidP="0070629A">
            <w:pPr>
              <w:rPr>
                <w:rFonts w:cstheme="minorHAnsi"/>
                <w:lang w:val="en-US" w:eastAsia="en-IN"/>
              </w:rPr>
            </w:pPr>
            <w:r w:rsidRPr="00524A62">
              <w:rPr>
                <w:rFonts w:cstheme="minorHAnsi"/>
                <w:lang w:val="en-US" w:eastAsia="en-IN"/>
              </w:rPr>
              <w:t>kW, kWh</w:t>
            </w:r>
          </w:p>
        </w:tc>
      </w:tr>
      <w:tr w:rsidR="00764429" w:rsidRPr="00524A62" w14:paraId="149D9BB9" w14:textId="77777777" w:rsidTr="00AF740C">
        <w:trPr>
          <w:trHeight w:val="280"/>
        </w:trPr>
        <w:tc>
          <w:tcPr>
            <w:tcW w:w="2425" w:type="dxa"/>
            <w:noWrap/>
          </w:tcPr>
          <w:p w14:paraId="0BC26B96" w14:textId="417DF4AB" w:rsidR="00764429" w:rsidRPr="00524A62" w:rsidRDefault="00764429" w:rsidP="0070629A">
            <w:pPr>
              <w:rPr>
                <w:rFonts w:cstheme="minorHAnsi"/>
                <w:lang w:val="en-US" w:eastAsia="en-IN"/>
              </w:rPr>
            </w:pPr>
            <w:r w:rsidRPr="00524A62">
              <w:rPr>
                <w:rFonts w:cstheme="minorHAnsi"/>
                <w:lang w:val="en-US" w:eastAsia="en-IN"/>
              </w:rPr>
              <w:t>refprice_notes</w:t>
            </w:r>
          </w:p>
        </w:tc>
        <w:tc>
          <w:tcPr>
            <w:tcW w:w="3960" w:type="dxa"/>
          </w:tcPr>
          <w:p w14:paraId="3CA6125D" w14:textId="15AE54A2" w:rsidR="00764429" w:rsidRPr="00524A62" w:rsidRDefault="00E92D37" w:rsidP="0070629A">
            <w:pPr>
              <w:rPr>
                <w:rFonts w:cstheme="minorHAnsi"/>
                <w:lang w:val="en-US" w:eastAsia="en-IN"/>
              </w:rPr>
            </w:pPr>
            <w:r w:rsidRPr="00524A62">
              <w:rPr>
                <w:rFonts w:cstheme="minorHAnsi"/>
                <w:lang w:val="en-US" w:eastAsia="en-IN"/>
              </w:rPr>
              <w:t>notes on the reference price</w:t>
            </w:r>
          </w:p>
        </w:tc>
        <w:tc>
          <w:tcPr>
            <w:tcW w:w="3511" w:type="dxa"/>
            <w:noWrap/>
          </w:tcPr>
          <w:p w14:paraId="4A1B4E74" w14:textId="0FB63CF4" w:rsidR="00764429" w:rsidRPr="00524A62" w:rsidRDefault="00BF00A3" w:rsidP="0070629A">
            <w:pPr>
              <w:rPr>
                <w:rFonts w:cstheme="minorHAnsi"/>
                <w:lang w:val="en-US" w:eastAsia="en-IN"/>
              </w:rPr>
            </w:pPr>
            <w:r w:rsidRPr="00524A62">
              <w:rPr>
                <w:rFonts w:cstheme="minorHAnsi"/>
                <w:lang w:val="en-US" w:eastAsia="en-IN"/>
              </w:rPr>
              <w:t>(see dataset)</w:t>
            </w:r>
          </w:p>
        </w:tc>
      </w:tr>
      <w:tr w:rsidR="008C7A95" w:rsidRPr="00524A62" w14:paraId="4B5AC496" w14:textId="77777777" w:rsidTr="00AF740C">
        <w:trPr>
          <w:trHeight w:val="280"/>
        </w:trPr>
        <w:tc>
          <w:tcPr>
            <w:tcW w:w="2425" w:type="dxa"/>
            <w:noWrap/>
          </w:tcPr>
          <w:p w14:paraId="3BC62B82" w14:textId="325BF087" w:rsidR="008C7A95" w:rsidRPr="00524A62" w:rsidRDefault="008C7A95" w:rsidP="008C7A95">
            <w:pPr>
              <w:rPr>
                <w:rFonts w:cstheme="minorHAnsi"/>
                <w:lang w:val="en-US" w:eastAsia="en-IN"/>
              </w:rPr>
            </w:pPr>
            <w:r w:rsidRPr="00524A62">
              <w:rPr>
                <w:rFonts w:cstheme="minorHAnsi"/>
                <w:lang w:val="en-US" w:eastAsia="en-IN"/>
              </w:rPr>
              <w:t>refprice_2</w:t>
            </w:r>
          </w:p>
        </w:tc>
        <w:tc>
          <w:tcPr>
            <w:tcW w:w="3960" w:type="dxa"/>
          </w:tcPr>
          <w:p w14:paraId="3C7FE2AF" w14:textId="7D1BD81C" w:rsidR="008C7A95" w:rsidRPr="00524A62" w:rsidRDefault="008C7A95" w:rsidP="008C7A95">
            <w:pPr>
              <w:rPr>
                <w:rFonts w:cstheme="minorHAnsi"/>
                <w:lang w:val="en-US" w:eastAsia="en-IN"/>
              </w:rPr>
            </w:pPr>
            <w:r w:rsidRPr="00524A62">
              <w:rPr>
                <w:rFonts w:cstheme="minorHAnsi"/>
                <w:lang w:val="en-US" w:eastAsia="en-IN"/>
              </w:rPr>
              <w:t>The reference price level for condition_2</w:t>
            </w:r>
          </w:p>
        </w:tc>
        <w:tc>
          <w:tcPr>
            <w:tcW w:w="3511" w:type="dxa"/>
            <w:noWrap/>
          </w:tcPr>
          <w:p w14:paraId="11281FDB" w14:textId="3BA61424" w:rsidR="008C7A95" w:rsidRPr="00524A62" w:rsidRDefault="008C7A95" w:rsidP="008C7A95">
            <w:pPr>
              <w:rPr>
                <w:rFonts w:cstheme="minorHAnsi"/>
                <w:lang w:val="en-US" w:eastAsia="en-IN"/>
              </w:rPr>
            </w:pPr>
            <w:r w:rsidRPr="00524A62">
              <w:rPr>
                <w:rFonts w:cstheme="minorHAnsi"/>
                <w:lang w:val="en-US" w:eastAsia="en-IN"/>
              </w:rPr>
              <w:t>numeric</w:t>
            </w:r>
          </w:p>
        </w:tc>
      </w:tr>
      <w:tr w:rsidR="008C7A95" w:rsidRPr="00524A62" w14:paraId="2BDE0E8E" w14:textId="77777777" w:rsidTr="00AF740C">
        <w:trPr>
          <w:trHeight w:val="280"/>
        </w:trPr>
        <w:tc>
          <w:tcPr>
            <w:tcW w:w="2425" w:type="dxa"/>
            <w:noWrap/>
          </w:tcPr>
          <w:p w14:paraId="469963E8" w14:textId="0325A291" w:rsidR="008C7A95" w:rsidRPr="00524A62" w:rsidRDefault="008C7A95" w:rsidP="008C7A95">
            <w:pPr>
              <w:rPr>
                <w:rFonts w:cstheme="minorHAnsi"/>
                <w:lang w:val="en-US" w:eastAsia="en-IN"/>
              </w:rPr>
            </w:pPr>
            <w:r w:rsidRPr="00524A62">
              <w:rPr>
                <w:rFonts w:cstheme="minorHAnsi"/>
                <w:lang w:val="en-US" w:eastAsia="en-IN"/>
              </w:rPr>
              <w:t>refprice_2_unit</w:t>
            </w:r>
          </w:p>
        </w:tc>
        <w:tc>
          <w:tcPr>
            <w:tcW w:w="3960" w:type="dxa"/>
          </w:tcPr>
          <w:p w14:paraId="059A8BFC" w14:textId="7280840D" w:rsidR="008C7A95" w:rsidRPr="00524A62" w:rsidRDefault="008C7A95" w:rsidP="008C7A95">
            <w:pPr>
              <w:rPr>
                <w:rFonts w:cstheme="minorHAnsi"/>
                <w:lang w:val="en-US" w:eastAsia="en-IN"/>
              </w:rPr>
            </w:pPr>
            <w:r w:rsidRPr="00524A62">
              <w:rPr>
                <w:rFonts w:cstheme="minorHAnsi"/>
                <w:lang w:val="en-US" w:eastAsia="en-IN"/>
              </w:rPr>
              <w:t>The reference price currency for condition_2</w:t>
            </w:r>
          </w:p>
        </w:tc>
        <w:tc>
          <w:tcPr>
            <w:tcW w:w="3511" w:type="dxa"/>
            <w:noWrap/>
          </w:tcPr>
          <w:p w14:paraId="14F8E7B7" w14:textId="6D5F8BAE" w:rsidR="008C7A95" w:rsidRPr="00524A62" w:rsidRDefault="008C7A95" w:rsidP="008C7A95">
            <w:pPr>
              <w:rPr>
                <w:rFonts w:cstheme="minorHAnsi"/>
                <w:lang w:val="en-US" w:eastAsia="en-IN"/>
              </w:rPr>
            </w:pPr>
            <w:r w:rsidRPr="00524A62">
              <w:rPr>
                <w:rFonts w:cstheme="minorHAnsi"/>
                <w:lang w:val="en-US" w:eastAsia="en-IN"/>
              </w:rPr>
              <w:t>EUR</w:t>
            </w:r>
          </w:p>
        </w:tc>
      </w:tr>
      <w:tr w:rsidR="008C7A95" w:rsidRPr="00524A62" w14:paraId="09880D6E" w14:textId="77777777" w:rsidTr="00AF740C">
        <w:trPr>
          <w:trHeight w:val="280"/>
        </w:trPr>
        <w:tc>
          <w:tcPr>
            <w:tcW w:w="2425" w:type="dxa"/>
            <w:noWrap/>
          </w:tcPr>
          <w:p w14:paraId="1D5CD8B7" w14:textId="7C0AE9CC" w:rsidR="008C7A95" w:rsidRPr="00524A62" w:rsidRDefault="008C7A95" w:rsidP="008C7A95">
            <w:pPr>
              <w:rPr>
                <w:rFonts w:cstheme="minorHAnsi"/>
                <w:lang w:val="en-US" w:eastAsia="en-IN"/>
              </w:rPr>
            </w:pPr>
            <w:r w:rsidRPr="00524A62">
              <w:rPr>
                <w:rFonts w:cstheme="minorHAnsi"/>
                <w:lang w:val="en-US" w:eastAsia="en-IN"/>
              </w:rPr>
              <w:t>refprice_2_currency</w:t>
            </w:r>
          </w:p>
        </w:tc>
        <w:tc>
          <w:tcPr>
            <w:tcW w:w="3960" w:type="dxa"/>
          </w:tcPr>
          <w:p w14:paraId="0DF2B75B" w14:textId="4A70A71C" w:rsidR="008C7A95" w:rsidRPr="00524A62" w:rsidRDefault="008C7A95" w:rsidP="008C7A95">
            <w:pPr>
              <w:rPr>
                <w:rFonts w:cstheme="minorHAnsi"/>
                <w:lang w:val="en-US" w:eastAsia="en-IN"/>
              </w:rPr>
            </w:pPr>
            <w:r w:rsidRPr="00524A62">
              <w:rPr>
                <w:rFonts w:cstheme="minorHAnsi"/>
                <w:lang w:val="en-US" w:eastAsia="en-IN"/>
              </w:rPr>
              <w:t>The reference price unit for condition_2</w:t>
            </w:r>
          </w:p>
        </w:tc>
        <w:tc>
          <w:tcPr>
            <w:tcW w:w="3511" w:type="dxa"/>
            <w:noWrap/>
          </w:tcPr>
          <w:p w14:paraId="3370CD7D" w14:textId="057E93EA" w:rsidR="008C7A95" w:rsidRPr="00524A62" w:rsidRDefault="008C7A95" w:rsidP="008C7A95">
            <w:pPr>
              <w:rPr>
                <w:rFonts w:cstheme="minorHAnsi"/>
                <w:lang w:val="en-US" w:eastAsia="en-IN"/>
              </w:rPr>
            </w:pPr>
            <w:r w:rsidRPr="00524A62">
              <w:rPr>
                <w:rFonts w:cstheme="minorHAnsi"/>
                <w:lang w:val="en-US" w:eastAsia="en-IN"/>
              </w:rPr>
              <w:t>kW, kWh</w:t>
            </w:r>
          </w:p>
        </w:tc>
      </w:tr>
      <w:tr w:rsidR="008C7A95" w:rsidRPr="00524A62" w14:paraId="349E3783" w14:textId="77777777" w:rsidTr="00AF740C">
        <w:trPr>
          <w:trHeight w:val="280"/>
        </w:trPr>
        <w:tc>
          <w:tcPr>
            <w:tcW w:w="2425" w:type="dxa"/>
            <w:noWrap/>
          </w:tcPr>
          <w:p w14:paraId="760EBC3D" w14:textId="3CB43CCC" w:rsidR="008C7A95" w:rsidRPr="00524A62" w:rsidRDefault="008C7A95" w:rsidP="008C7A95">
            <w:pPr>
              <w:rPr>
                <w:rFonts w:cstheme="minorHAnsi"/>
                <w:lang w:val="en-US" w:eastAsia="en-IN"/>
              </w:rPr>
            </w:pPr>
            <w:r w:rsidRPr="00524A62">
              <w:rPr>
                <w:rFonts w:cstheme="minorHAnsi"/>
                <w:lang w:val="en-US" w:eastAsia="en-IN"/>
              </w:rPr>
              <w:t>serial_number</w:t>
            </w:r>
          </w:p>
        </w:tc>
        <w:tc>
          <w:tcPr>
            <w:tcW w:w="3960" w:type="dxa"/>
          </w:tcPr>
          <w:p w14:paraId="2E586A5F" w14:textId="11EE41D9" w:rsidR="008C7A95" w:rsidRPr="00524A62" w:rsidRDefault="008C7A95" w:rsidP="008C7A95">
            <w:pPr>
              <w:rPr>
                <w:rFonts w:cstheme="minorHAnsi"/>
                <w:lang w:val="en-US" w:eastAsia="en-IN"/>
              </w:rPr>
            </w:pPr>
            <w:r w:rsidRPr="00524A62">
              <w:rPr>
                <w:rFonts w:cstheme="minorHAnsi"/>
                <w:lang w:val="en-US" w:eastAsia="en-IN"/>
              </w:rPr>
              <w:t>The serial number assigned to the observation</w:t>
            </w:r>
          </w:p>
        </w:tc>
        <w:tc>
          <w:tcPr>
            <w:tcW w:w="3511" w:type="dxa"/>
            <w:noWrap/>
          </w:tcPr>
          <w:p w14:paraId="10F57BE2" w14:textId="7C60C9EA" w:rsidR="008C7A95" w:rsidRPr="00524A62" w:rsidRDefault="008C7A95" w:rsidP="008C7A95">
            <w:pPr>
              <w:rPr>
                <w:rFonts w:cstheme="minorHAnsi"/>
                <w:lang w:val="en-US" w:eastAsia="en-IN"/>
              </w:rPr>
            </w:pPr>
            <w:r w:rsidRPr="00524A62">
              <w:rPr>
                <w:rFonts w:cstheme="minorHAnsi"/>
                <w:lang w:val="en-US" w:eastAsia="en-IN"/>
              </w:rPr>
              <w:t>numeric</w:t>
            </w:r>
          </w:p>
        </w:tc>
      </w:tr>
      <w:tr w:rsidR="008C7A95" w:rsidRPr="00524A62" w14:paraId="186A1498" w14:textId="77777777" w:rsidTr="00AF740C">
        <w:trPr>
          <w:trHeight w:val="280"/>
        </w:trPr>
        <w:tc>
          <w:tcPr>
            <w:tcW w:w="2425" w:type="dxa"/>
            <w:noWrap/>
          </w:tcPr>
          <w:p w14:paraId="308795C9" w14:textId="55B5208B" w:rsidR="008C7A95" w:rsidRPr="00524A62" w:rsidRDefault="008C7A95" w:rsidP="008C7A95">
            <w:pPr>
              <w:rPr>
                <w:rFonts w:cstheme="minorHAnsi"/>
                <w:lang w:val="en-US" w:eastAsia="en-IN"/>
              </w:rPr>
            </w:pPr>
            <w:r w:rsidRPr="00524A62">
              <w:rPr>
                <w:rFonts w:cstheme="minorHAnsi"/>
                <w:lang w:val="en-US" w:eastAsia="en-IN"/>
              </w:rPr>
              <w:t>source</w:t>
            </w:r>
          </w:p>
        </w:tc>
        <w:tc>
          <w:tcPr>
            <w:tcW w:w="3960" w:type="dxa"/>
          </w:tcPr>
          <w:p w14:paraId="5C8A1463" w14:textId="1D3171F1" w:rsidR="008C7A95" w:rsidRPr="00524A62" w:rsidRDefault="008C7A95" w:rsidP="008C7A95">
            <w:pPr>
              <w:rPr>
                <w:rFonts w:cstheme="minorHAnsi"/>
                <w:lang w:val="en-US" w:eastAsia="en-IN"/>
              </w:rPr>
            </w:pPr>
            <w:r w:rsidRPr="00524A62">
              <w:rPr>
                <w:rFonts w:cstheme="minorHAnsi"/>
                <w:lang w:val="en-US" w:eastAsia="en-IN"/>
              </w:rPr>
              <w:t>Links to the sources of the data</w:t>
            </w:r>
          </w:p>
        </w:tc>
        <w:tc>
          <w:tcPr>
            <w:tcW w:w="3511" w:type="dxa"/>
            <w:noWrap/>
          </w:tcPr>
          <w:p w14:paraId="383D0809" w14:textId="0CECFA47" w:rsidR="008C7A95" w:rsidRPr="00524A62" w:rsidRDefault="008C7A95" w:rsidP="008C7A95">
            <w:pPr>
              <w:rPr>
                <w:rFonts w:cstheme="minorHAnsi"/>
                <w:lang w:val="en-US" w:eastAsia="en-IN"/>
              </w:rPr>
            </w:pPr>
            <w:r w:rsidRPr="00524A62">
              <w:rPr>
                <w:rFonts w:cstheme="minorHAnsi"/>
                <w:lang w:val="en-US" w:eastAsia="en-IN"/>
              </w:rPr>
              <w:t>(see dataset)</w:t>
            </w:r>
          </w:p>
        </w:tc>
      </w:tr>
      <w:tr w:rsidR="008C7A95" w:rsidRPr="00524A62" w14:paraId="2C0D8CCE" w14:textId="77777777" w:rsidTr="00AF740C">
        <w:trPr>
          <w:trHeight w:val="280"/>
        </w:trPr>
        <w:tc>
          <w:tcPr>
            <w:tcW w:w="2425" w:type="dxa"/>
            <w:noWrap/>
            <w:hideMark/>
          </w:tcPr>
          <w:p w14:paraId="170C6F68" w14:textId="77777777" w:rsidR="008C7A95" w:rsidRPr="00524A62" w:rsidRDefault="008C7A95" w:rsidP="008C7A95">
            <w:pPr>
              <w:rPr>
                <w:rFonts w:cstheme="minorHAnsi"/>
                <w:lang w:val="en-US" w:eastAsia="en-IN"/>
              </w:rPr>
            </w:pPr>
            <w:r w:rsidRPr="00524A62">
              <w:rPr>
                <w:rFonts w:cstheme="minorHAnsi"/>
                <w:lang w:val="en-US" w:eastAsia="en-IN"/>
              </w:rPr>
              <w:t>support_duration</w:t>
            </w:r>
          </w:p>
        </w:tc>
        <w:tc>
          <w:tcPr>
            <w:tcW w:w="3960" w:type="dxa"/>
          </w:tcPr>
          <w:p w14:paraId="531A9C2E" w14:textId="77777777" w:rsidR="008C7A95" w:rsidRPr="00524A62" w:rsidRDefault="008C7A95" w:rsidP="008C7A95">
            <w:pPr>
              <w:rPr>
                <w:rFonts w:cstheme="minorHAnsi"/>
                <w:lang w:val="en-US" w:eastAsia="en-IN"/>
              </w:rPr>
            </w:pPr>
            <w:r w:rsidRPr="00524A62">
              <w:rPr>
                <w:rFonts w:cstheme="minorHAnsi"/>
                <w:lang w:val="en-US" w:eastAsia="en-IN"/>
              </w:rPr>
              <w:t>The years of support projects are eligible for</w:t>
            </w:r>
          </w:p>
        </w:tc>
        <w:tc>
          <w:tcPr>
            <w:tcW w:w="3511" w:type="dxa"/>
            <w:noWrap/>
            <w:hideMark/>
          </w:tcPr>
          <w:p w14:paraId="3EE681C7" w14:textId="77777777" w:rsidR="008C7A95" w:rsidRPr="00524A62" w:rsidRDefault="008C7A95" w:rsidP="008C7A95">
            <w:pPr>
              <w:rPr>
                <w:rFonts w:cstheme="minorHAnsi"/>
                <w:lang w:val="en-US" w:eastAsia="en-IN"/>
              </w:rPr>
            </w:pPr>
            <w:r w:rsidRPr="00524A62">
              <w:rPr>
                <w:rFonts w:cstheme="minorHAnsi"/>
                <w:lang w:val="en-US" w:eastAsia="en-IN"/>
              </w:rPr>
              <w:t>(Numeric; 99 represents lifetime support)</w:t>
            </w:r>
          </w:p>
        </w:tc>
      </w:tr>
      <w:tr w:rsidR="008C7A95" w:rsidRPr="008D4356" w14:paraId="6D891B9D" w14:textId="77777777" w:rsidTr="00AF740C">
        <w:trPr>
          <w:trHeight w:val="280"/>
        </w:trPr>
        <w:tc>
          <w:tcPr>
            <w:tcW w:w="2425" w:type="dxa"/>
            <w:noWrap/>
          </w:tcPr>
          <w:p w14:paraId="12661F49" w14:textId="71FBFFF4" w:rsidR="008C7A95" w:rsidRPr="00524A62" w:rsidRDefault="008C7A95" w:rsidP="008C7A95">
            <w:pPr>
              <w:rPr>
                <w:rFonts w:cstheme="minorHAnsi"/>
                <w:lang w:val="en-US" w:eastAsia="en-IN"/>
              </w:rPr>
            </w:pPr>
            <w:r w:rsidRPr="00524A62">
              <w:rPr>
                <w:rFonts w:cstheme="minorHAnsi"/>
                <w:lang w:val="en-US" w:eastAsia="en-IN"/>
              </w:rPr>
              <w:t>tax_type</w:t>
            </w:r>
          </w:p>
        </w:tc>
        <w:tc>
          <w:tcPr>
            <w:tcW w:w="3960" w:type="dxa"/>
          </w:tcPr>
          <w:p w14:paraId="72CAE8CA" w14:textId="49760CDB" w:rsidR="008C7A95" w:rsidRPr="00524A62" w:rsidRDefault="008C7A95" w:rsidP="008C7A95">
            <w:pPr>
              <w:rPr>
                <w:rFonts w:cstheme="minorHAnsi"/>
                <w:lang w:val="en-US"/>
              </w:rPr>
            </w:pPr>
            <w:r w:rsidRPr="00524A62">
              <w:rPr>
                <w:rFonts w:cstheme="minorHAnsi"/>
                <w:lang w:val="en-US"/>
              </w:rPr>
              <w:t>The type of tax incentive</w:t>
            </w:r>
          </w:p>
        </w:tc>
        <w:tc>
          <w:tcPr>
            <w:tcW w:w="3511" w:type="dxa"/>
            <w:noWrap/>
          </w:tcPr>
          <w:p w14:paraId="6D519334" w14:textId="5A18DFEC" w:rsidR="008C7A95" w:rsidRPr="00524A62" w:rsidRDefault="008C7A95" w:rsidP="008C7A95">
            <w:pPr>
              <w:rPr>
                <w:rFonts w:cstheme="minorHAnsi"/>
                <w:lang w:val="en-US" w:eastAsia="en-IN"/>
              </w:rPr>
            </w:pPr>
            <w:r w:rsidRPr="00524A62">
              <w:rPr>
                <w:rFonts w:cstheme="minorHAnsi"/>
                <w:lang w:val="en-US" w:eastAsia="en-IN"/>
              </w:rPr>
              <w:t xml:space="preserve">Tax deduction, </w:t>
            </w:r>
            <w:r w:rsidRPr="00524A62">
              <w:rPr>
                <w:rFonts w:ascii="Calibri" w:eastAsia="Times New Roman" w:hAnsi="Calibri" w:cs="Calibri"/>
                <w:color w:val="000000"/>
                <w:lang w:val="en-US"/>
              </w:rPr>
              <w:t>tax credit, tax exclusion, reduced tax rate etc.</w:t>
            </w:r>
          </w:p>
        </w:tc>
      </w:tr>
      <w:tr w:rsidR="008C7A95" w:rsidRPr="008D4356" w14:paraId="33972A8A" w14:textId="77777777" w:rsidTr="00AF740C">
        <w:trPr>
          <w:trHeight w:val="280"/>
        </w:trPr>
        <w:tc>
          <w:tcPr>
            <w:tcW w:w="2425" w:type="dxa"/>
            <w:noWrap/>
            <w:hideMark/>
          </w:tcPr>
          <w:p w14:paraId="1EDF88B0" w14:textId="772FD89B" w:rsidR="008C7A95" w:rsidRPr="00524A62" w:rsidRDefault="008C7A95" w:rsidP="008C7A95">
            <w:pPr>
              <w:rPr>
                <w:rFonts w:cstheme="minorHAnsi"/>
                <w:lang w:val="en-US" w:eastAsia="en-IN"/>
              </w:rPr>
            </w:pPr>
            <w:r w:rsidRPr="00524A62">
              <w:rPr>
                <w:rFonts w:cstheme="minorHAnsi"/>
                <w:lang w:val="en-US" w:eastAsia="en-IN"/>
              </w:rPr>
              <w:t>technology_requirement</w:t>
            </w:r>
          </w:p>
        </w:tc>
        <w:tc>
          <w:tcPr>
            <w:tcW w:w="3960" w:type="dxa"/>
          </w:tcPr>
          <w:p w14:paraId="008B9737" w14:textId="77777777" w:rsidR="008C7A95" w:rsidRPr="00524A62" w:rsidRDefault="008C7A95" w:rsidP="008C7A95">
            <w:pPr>
              <w:rPr>
                <w:rFonts w:cstheme="minorHAnsi"/>
                <w:lang w:val="en-US" w:eastAsia="en-IN"/>
              </w:rPr>
            </w:pPr>
            <w:r w:rsidRPr="00524A62">
              <w:rPr>
                <w:rFonts w:cstheme="minorHAnsi"/>
                <w:lang w:val="en-US"/>
              </w:rPr>
              <w:t>A technology-specific requirement for support eligibility</w:t>
            </w:r>
          </w:p>
        </w:tc>
        <w:tc>
          <w:tcPr>
            <w:tcW w:w="3511" w:type="dxa"/>
            <w:noWrap/>
            <w:hideMark/>
          </w:tcPr>
          <w:p w14:paraId="0634D334" w14:textId="5277D9F7" w:rsidR="008C7A95" w:rsidRPr="00524A62" w:rsidRDefault="008C7A95" w:rsidP="008C7A95">
            <w:pPr>
              <w:rPr>
                <w:rFonts w:cstheme="minorHAnsi"/>
                <w:lang w:val="en-US" w:eastAsia="en-IN"/>
              </w:rPr>
            </w:pPr>
            <w:r w:rsidRPr="00524A62">
              <w:rPr>
                <w:rFonts w:cstheme="minorHAnsi"/>
                <w:lang w:val="en-US" w:eastAsia="en-IN"/>
              </w:rPr>
              <w:t>other systems, building integrated, ground-mounted …(see dataset)</w:t>
            </w:r>
          </w:p>
        </w:tc>
      </w:tr>
      <w:tr w:rsidR="008C7A95" w:rsidRPr="008D4356" w14:paraId="403B5D39" w14:textId="77777777" w:rsidTr="00AF740C">
        <w:trPr>
          <w:trHeight w:val="280"/>
        </w:trPr>
        <w:tc>
          <w:tcPr>
            <w:tcW w:w="2425" w:type="dxa"/>
            <w:noWrap/>
            <w:hideMark/>
          </w:tcPr>
          <w:p w14:paraId="4947BB65" w14:textId="63A9A2E5" w:rsidR="008C7A95" w:rsidRPr="00524A62" w:rsidRDefault="008C7A95" w:rsidP="008C7A95">
            <w:pPr>
              <w:rPr>
                <w:rFonts w:cstheme="minorHAnsi"/>
                <w:lang w:val="en-US" w:eastAsia="en-IN"/>
              </w:rPr>
            </w:pPr>
            <w:r w:rsidRPr="00524A62">
              <w:rPr>
                <w:rFonts w:cstheme="minorHAnsi"/>
                <w:lang w:val="en-US" w:eastAsia="en-IN"/>
              </w:rPr>
              <w:t>technology_type</w:t>
            </w:r>
          </w:p>
        </w:tc>
        <w:tc>
          <w:tcPr>
            <w:tcW w:w="3960" w:type="dxa"/>
          </w:tcPr>
          <w:p w14:paraId="5FECE246" w14:textId="77777777" w:rsidR="008C7A95" w:rsidRPr="00524A62" w:rsidRDefault="008C7A95" w:rsidP="008C7A95">
            <w:pPr>
              <w:rPr>
                <w:rFonts w:cstheme="minorHAnsi"/>
                <w:lang w:val="en-US" w:eastAsia="en-IN"/>
              </w:rPr>
            </w:pPr>
            <w:r w:rsidRPr="00524A62">
              <w:rPr>
                <w:rFonts w:cstheme="minorHAnsi"/>
                <w:lang w:val="en-US" w:eastAsia="en-IN"/>
              </w:rPr>
              <w:t>Which technologies are supported by the policy</w:t>
            </w:r>
          </w:p>
        </w:tc>
        <w:tc>
          <w:tcPr>
            <w:tcW w:w="3511" w:type="dxa"/>
            <w:noWrap/>
            <w:hideMark/>
          </w:tcPr>
          <w:p w14:paraId="1DB19204" w14:textId="77777777" w:rsidR="008C7A95" w:rsidRPr="00524A62" w:rsidRDefault="008C7A95" w:rsidP="008C7A95">
            <w:pPr>
              <w:rPr>
                <w:rFonts w:cstheme="minorHAnsi"/>
                <w:lang w:val="en-US" w:eastAsia="en-IN"/>
              </w:rPr>
            </w:pPr>
            <w:r w:rsidRPr="00524A62">
              <w:rPr>
                <w:rFonts w:cstheme="minorHAnsi"/>
                <w:lang w:val="en-US" w:eastAsia="en-IN"/>
              </w:rPr>
              <w:t>PV, wind, bioenergy, all renewables, PV rooftop, offshore wind, multiple, PV field, CSP, onshore wind</w:t>
            </w:r>
          </w:p>
        </w:tc>
      </w:tr>
      <w:tr w:rsidR="008C7A95" w:rsidRPr="008D4356" w14:paraId="4246B400" w14:textId="77777777" w:rsidTr="00AF740C">
        <w:trPr>
          <w:trHeight w:val="280"/>
        </w:trPr>
        <w:tc>
          <w:tcPr>
            <w:tcW w:w="2425" w:type="dxa"/>
            <w:noWrap/>
            <w:hideMark/>
          </w:tcPr>
          <w:p w14:paraId="40742F45" w14:textId="57C9F09E" w:rsidR="008C7A95" w:rsidRPr="00524A62" w:rsidRDefault="008C7A95" w:rsidP="008C7A95">
            <w:pPr>
              <w:rPr>
                <w:rFonts w:cstheme="minorHAnsi"/>
                <w:lang w:val="en-US" w:eastAsia="en-IN"/>
              </w:rPr>
            </w:pPr>
            <w:r w:rsidRPr="00524A62">
              <w:rPr>
                <w:rFonts w:cstheme="minorHAnsi"/>
                <w:lang w:val="en-US" w:eastAsia="en-IN"/>
              </w:rPr>
              <w:t>technology_type_multiple</w:t>
            </w:r>
          </w:p>
        </w:tc>
        <w:tc>
          <w:tcPr>
            <w:tcW w:w="3960" w:type="dxa"/>
          </w:tcPr>
          <w:p w14:paraId="4446428F" w14:textId="77777777" w:rsidR="008C7A95" w:rsidRPr="00524A62" w:rsidRDefault="008C7A95" w:rsidP="008C7A95">
            <w:pPr>
              <w:rPr>
                <w:rFonts w:cstheme="minorHAnsi"/>
                <w:lang w:val="en-US" w:eastAsia="en-IN"/>
              </w:rPr>
            </w:pPr>
            <w:r w:rsidRPr="00524A62">
              <w:rPr>
                <w:rFonts w:cstheme="minorHAnsi"/>
                <w:lang w:val="en-US"/>
              </w:rPr>
              <w:t>When multiple technologies are supported without a clear differentiation of support levels</w:t>
            </w:r>
          </w:p>
        </w:tc>
        <w:tc>
          <w:tcPr>
            <w:tcW w:w="3511" w:type="dxa"/>
            <w:noWrap/>
            <w:hideMark/>
          </w:tcPr>
          <w:p w14:paraId="56742F48" w14:textId="77777777" w:rsidR="008C7A95" w:rsidRPr="00524A62" w:rsidRDefault="008C7A95" w:rsidP="008C7A95">
            <w:pPr>
              <w:rPr>
                <w:rFonts w:cstheme="minorHAnsi"/>
                <w:lang w:val="en-US" w:eastAsia="en-IN"/>
              </w:rPr>
            </w:pPr>
            <w:r w:rsidRPr="00524A62">
              <w:rPr>
                <w:rFonts w:cstheme="minorHAnsi"/>
                <w:lang w:val="en-US" w:eastAsia="en-IN"/>
              </w:rPr>
              <w:t>PV and wind, PV, hydro and bioenergy, biomass and wind, biomass, PV and wind</w:t>
            </w:r>
          </w:p>
        </w:tc>
      </w:tr>
      <w:tr w:rsidR="008C7A95" w:rsidRPr="00524A62" w14:paraId="4EABC26B" w14:textId="77777777" w:rsidTr="00AF740C">
        <w:trPr>
          <w:trHeight w:val="280"/>
        </w:trPr>
        <w:tc>
          <w:tcPr>
            <w:tcW w:w="2425" w:type="dxa"/>
            <w:noWrap/>
            <w:hideMark/>
          </w:tcPr>
          <w:p w14:paraId="6B13D60A" w14:textId="77777777" w:rsidR="008C7A95" w:rsidRPr="00524A62" w:rsidRDefault="008C7A95" w:rsidP="008C7A95">
            <w:pPr>
              <w:rPr>
                <w:rFonts w:cstheme="minorHAnsi"/>
                <w:lang w:val="en-US" w:eastAsia="en-IN"/>
              </w:rPr>
            </w:pPr>
            <w:r w:rsidRPr="00524A62">
              <w:rPr>
                <w:rFonts w:cstheme="minorHAnsi"/>
                <w:lang w:val="en-US"/>
              </w:rPr>
              <w:t>tender_amount_tendered</w:t>
            </w:r>
          </w:p>
        </w:tc>
        <w:tc>
          <w:tcPr>
            <w:tcW w:w="3960" w:type="dxa"/>
          </w:tcPr>
          <w:p w14:paraId="73071DEA" w14:textId="77777777" w:rsidR="008C7A95" w:rsidRPr="00524A62" w:rsidRDefault="008C7A95" w:rsidP="008C7A95">
            <w:pPr>
              <w:rPr>
                <w:rFonts w:cstheme="minorHAnsi"/>
                <w:lang w:val="en-US" w:eastAsia="en-IN"/>
              </w:rPr>
            </w:pPr>
            <w:r w:rsidRPr="00524A62">
              <w:rPr>
                <w:rFonts w:cstheme="minorHAnsi"/>
                <w:color w:val="000000"/>
                <w:lang w:val="en-US"/>
              </w:rPr>
              <w:t xml:space="preserve">The amount of renewable power auctioned in a specific year, in (partial) fulfilment of the long term goal </w:t>
            </w:r>
          </w:p>
        </w:tc>
        <w:tc>
          <w:tcPr>
            <w:tcW w:w="3511" w:type="dxa"/>
            <w:noWrap/>
            <w:hideMark/>
          </w:tcPr>
          <w:p w14:paraId="73138394" w14:textId="44C807C4" w:rsidR="008C7A95" w:rsidRPr="00524A62" w:rsidRDefault="008C7A95" w:rsidP="008C7A95">
            <w:pPr>
              <w:rPr>
                <w:rFonts w:cstheme="minorHAnsi"/>
                <w:lang w:val="en-US" w:eastAsia="en-IN"/>
              </w:rPr>
            </w:pPr>
            <w:r w:rsidRPr="00524A62">
              <w:rPr>
                <w:rFonts w:cstheme="minorHAnsi"/>
                <w:lang w:val="en-US"/>
              </w:rPr>
              <w:t>numeric</w:t>
            </w:r>
          </w:p>
        </w:tc>
      </w:tr>
      <w:tr w:rsidR="008C7A95" w:rsidRPr="008D4356" w14:paraId="73BF9AD2" w14:textId="77777777" w:rsidTr="00AF740C">
        <w:trPr>
          <w:trHeight w:val="280"/>
        </w:trPr>
        <w:tc>
          <w:tcPr>
            <w:tcW w:w="2425" w:type="dxa"/>
            <w:noWrap/>
            <w:hideMark/>
          </w:tcPr>
          <w:p w14:paraId="2E4E743D" w14:textId="77777777" w:rsidR="008C7A95" w:rsidRPr="00524A62" w:rsidRDefault="008C7A95" w:rsidP="008C7A95">
            <w:pPr>
              <w:rPr>
                <w:rFonts w:cstheme="minorHAnsi"/>
                <w:lang w:val="en-US" w:eastAsia="en-IN"/>
              </w:rPr>
            </w:pPr>
            <w:r w:rsidRPr="00524A62">
              <w:rPr>
                <w:rFonts w:cstheme="minorHAnsi"/>
                <w:lang w:val="en-US"/>
              </w:rPr>
              <w:t>tender_amount_tendered_unit</w:t>
            </w:r>
          </w:p>
        </w:tc>
        <w:tc>
          <w:tcPr>
            <w:tcW w:w="3960" w:type="dxa"/>
          </w:tcPr>
          <w:p w14:paraId="12CE1B2F" w14:textId="77777777" w:rsidR="008C7A95" w:rsidRPr="00524A62" w:rsidRDefault="008C7A95" w:rsidP="008C7A95">
            <w:pPr>
              <w:rPr>
                <w:rFonts w:cstheme="minorHAnsi"/>
                <w:lang w:val="en-US" w:eastAsia="en-IN"/>
              </w:rPr>
            </w:pPr>
            <w:r w:rsidRPr="00524A62">
              <w:rPr>
                <w:rFonts w:cstheme="minorHAnsi"/>
                <w:color w:val="000000"/>
                <w:lang w:val="en-US"/>
              </w:rPr>
              <w:t>The unit of the tendered amount</w:t>
            </w:r>
          </w:p>
        </w:tc>
        <w:tc>
          <w:tcPr>
            <w:tcW w:w="3511" w:type="dxa"/>
            <w:noWrap/>
            <w:hideMark/>
          </w:tcPr>
          <w:p w14:paraId="07F59772" w14:textId="77777777" w:rsidR="008C7A95" w:rsidRPr="00524A62" w:rsidRDefault="008C7A95" w:rsidP="008C7A95">
            <w:pPr>
              <w:rPr>
                <w:rFonts w:cstheme="minorHAnsi"/>
                <w:lang w:val="en-US" w:eastAsia="en-IN"/>
              </w:rPr>
            </w:pPr>
            <w:r w:rsidRPr="00524A62">
              <w:rPr>
                <w:rFonts w:cstheme="minorHAnsi"/>
                <w:lang w:val="en-US"/>
              </w:rPr>
              <w:t>MW, kW, MWh, EUR for all technologies, MWh/year, MW wind &amp; biomass, MW non-CSP</w:t>
            </w:r>
          </w:p>
        </w:tc>
      </w:tr>
      <w:tr w:rsidR="008C7A95" w:rsidRPr="00524A62" w14:paraId="557A7614" w14:textId="77777777" w:rsidTr="00AF740C">
        <w:trPr>
          <w:trHeight w:val="280"/>
        </w:trPr>
        <w:tc>
          <w:tcPr>
            <w:tcW w:w="2425" w:type="dxa"/>
            <w:noWrap/>
            <w:hideMark/>
          </w:tcPr>
          <w:p w14:paraId="18A36327" w14:textId="77777777" w:rsidR="008C7A95" w:rsidRPr="00524A62" w:rsidRDefault="008C7A95" w:rsidP="008C7A95">
            <w:pPr>
              <w:rPr>
                <w:rFonts w:cstheme="minorHAnsi"/>
                <w:lang w:val="en-US" w:eastAsia="en-IN"/>
              </w:rPr>
            </w:pPr>
            <w:r w:rsidRPr="00524A62">
              <w:rPr>
                <w:rFonts w:cstheme="minorHAnsi"/>
                <w:lang w:val="en-US"/>
              </w:rPr>
              <w:t>tender_amount_contracted</w:t>
            </w:r>
          </w:p>
        </w:tc>
        <w:tc>
          <w:tcPr>
            <w:tcW w:w="3960" w:type="dxa"/>
          </w:tcPr>
          <w:p w14:paraId="4F1F8232" w14:textId="77777777" w:rsidR="008C7A95" w:rsidRPr="00524A62" w:rsidRDefault="008C7A95" w:rsidP="008C7A95">
            <w:pPr>
              <w:rPr>
                <w:rFonts w:cstheme="minorHAnsi"/>
                <w:lang w:val="en-US" w:eastAsia="en-IN"/>
              </w:rPr>
            </w:pPr>
            <w:r w:rsidRPr="00524A62">
              <w:rPr>
                <w:rFonts w:cstheme="minorHAnsi"/>
                <w:color w:val="000000"/>
                <w:lang w:val="en-US"/>
              </w:rPr>
              <w:t>The amount of renewable power contracted (the sum of all winning bids in a year)</w:t>
            </w:r>
          </w:p>
        </w:tc>
        <w:tc>
          <w:tcPr>
            <w:tcW w:w="3511" w:type="dxa"/>
            <w:noWrap/>
            <w:hideMark/>
          </w:tcPr>
          <w:p w14:paraId="06D28665" w14:textId="77777777" w:rsidR="008C7A95" w:rsidRPr="00524A62" w:rsidRDefault="008C7A95" w:rsidP="008C7A95">
            <w:pPr>
              <w:rPr>
                <w:rFonts w:cstheme="minorHAnsi"/>
                <w:lang w:val="en-US" w:eastAsia="en-IN"/>
              </w:rPr>
            </w:pPr>
            <w:r w:rsidRPr="00524A62">
              <w:rPr>
                <w:rFonts w:cstheme="minorHAnsi"/>
                <w:lang w:val="en-US"/>
              </w:rPr>
              <w:t>Numeric</w:t>
            </w:r>
          </w:p>
        </w:tc>
      </w:tr>
      <w:tr w:rsidR="008C7A95" w:rsidRPr="00524A62" w14:paraId="7949596E" w14:textId="77777777" w:rsidTr="00AF740C">
        <w:trPr>
          <w:trHeight w:val="280"/>
        </w:trPr>
        <w:tc>
          <w:tcPr>
            <w:tcW w:w="2425" w:type="dxa"/>
            <w:noWrap/>
            <w:hideMark/>
          </w:tcPr>
          <w:p w14:paraId="5610CF9B" w14:textId="7920BCA1" w:rsidR="008C7A95" w:rsidRPr="00524A62" w:rsidRDefault="008C7A95" w:rsidP="008C7A95">
            <w:pPr>
              <w:rPr>
                <w:rFonts w:cstheme="minorHAnsi"/>
                <w:lang w:val="en-US" w:eastAsia="en-IN"/>
              </w:rPr>
            </w:pPr>
            <w:r w:rsidRPr="00524A62">
              <w:rPr>
                <w:rFonts w:cstheme="minorHAnsi"/>
                <w:lang w:val="en-US"/>
              </w:rPr>
              <w:t>tender_amount_contracted_unit</w:t>
            </w:r>
          </w:p>
        </w:tc>
        <w:tc>
          <w:tcPr>
            <w:tcW w:w="3960" w:type="dxa"/>
          </w:tcPr>
          <w:p w14:paraId="5DF94E30" w14:textId="77777777" w:rsidR="008C7A95" w:rsidRPr="00524A62" w:rsidRDefault="008C7A95" w:rsidP="008C7A95">
            <w:pPr>
              <w:rPr>
                <w:rFonts w:cstheme="minorHAnsi"/>
                <w:lang w:val="en-US" w:eastAsia="en-IN"/>
              </w:rPr>
            </w:pPr>
            <w:r w:rsidRPr="00524A62">
              <w:rPr>
                <w:rFonts w:cstheme="minorHAnsi"/>
                <w:color w:val="000000"/>
                <w:lang w:val="en-US"/>
              </w:rPr>
              <w:t xml:space="preserve">The unit of the contracted amount </w:t>
            </w:r>
          </w:p>
        </w:tc>
        <w:tc>
          <w:tcPr>
            <w:tcW w:w="3511" w:type="dxa"/>
            <w:noWrap/>
            <w:hideMark/>
          </w:tcPr>
          <w:p w14:paraId="40398252" w14:textId="77777777" w:rsidR="008C7A95" w:rsidRPr="00524A62" w:rsidRDefault="008C7A95" w:rsidP="008C7A95">
            <w:pPr>
              <w:rPr>
                <w:rFonts w:cstheme="minorHAnsi"/>
                <w:lang w:val="en-US" w:eastAsia="en-IN"/>
              </w:rPr>
            </w:pPr>
            <w:r w:rsidRPr="00524A62">
              <w:rPr>
                <w:rFonts w:cstheme="minorHAnsi"/>
                <w:lang w:val="en-US"/>
              </w:rPr>
              <w:t>MW, MWh year</w:t>
            </w:r>
          </w:p>
        </w:tc>
      </w:tr>
      <w:tr w:rsidR="008C7A95" w:rsidRPr="008D4356" w14:paraId="2C1A2737" w14:textId="77777777" w:rsidTr="00AF740C">
        <w:trPr>
          <w:trHeight w:val="280"/>
        </w:trPr>
        <w:tc>
          <w:tcPr>
            <w:tcW w:w="2425" w:type="dxa"/>
            <w:noWrap/>
          </w:tcPr>
          <w:p w14:paraId="3647A38A" w14:textId="4809820C" w:rsidR="008C7A95" w:rsidRPr="00524A62" w:rsidRDefault="008C7A95" w:rsidP="008C7A95">
            <w:pPr>
              <w:rPr>
                <w:rFonts w:cstheme="minorHAnsi"/>
                <w:lang w:val="en-US" w:eastAsia="en-IN"/>
              </w:rPr>
            </w:pPr>
            <w:r w:rsidRPr="00524A62">
              <w:rPr>
                <w:rFonts w:cstheme="minorHAnsi"/>
                <w:lang w:val="en-US" w:eastAsia="en-IN"/>
              </w:rPr>
              <w:t>tender_type</w:t>
            </w:r>
          </w:p>
        </w:tc>
        <w:tc>
          <w:tcPr>
            <w:tcW w:w="3960" w:type="dxa"/>
          </w:tcPr>
          <w:p w14:paraId="7559AEA2" w14:textId="08E80B82" w:rsidR="008C7A95" w:rsidRPr="00524A62" w:rsidRDefault="008C7A95" w:rsidP="008C7A95">
            <w:pPr>
              <w:rPr>
                <w:rFonts w:cstheme="minorHAnsi"/>
                <w:lang w:val="en-US"/>
              </w:rPr>
            </w:pPr>
            <w:r w:rsidRPr="00524A62">
              <w:rPr>
                <w:rFonts w:cstheme="minorHAnsi"/>
                <w:lang w:val="en-US"/>
              </w:rPr>
              <w:t>The type of support being tendered</w:t>
            </w:r>
          </w:p>
        </w:tc>
        <w:tc>
          <w:tcPr>
            <w:tcW w:w="3511" w:type="dxa"/>
            <w:noWrap/>
          </w:tcPr>
          <w:p w14:paraId="0C8D8453" w14:textId="4B9C7E7D" w:rsidR="008C7A95" w:rsidRPr="00524A62" w:rsidRDefault="008C7A95" w:rsidP="008C7A95">
            <w:pPr>
              <w:rPr>
                <w:rFonts w:cstheme="minorHAnsi"/>
                <w:lang w:val="en-US" w:eastAsia="en-IN"/>
              </w:rPr>
            </w:pPr>
            <w:r w:rsidRPr="00524A62">
              <w:rPr>
                <w:rFonts w:cstheme="minorHAnsi"/>
                <w:lang w:val="en-US"/>
              </w:rPr>
              <w:t>FIP, FIT, CfD, no support, subsidy</w:t>
            </w:r>
          </w:p>
        </w:tc>
      </w:tr>
      <w:tr w:rsidR="008C7A95" w:rsidRPr="00524A62" w14:paraId="2FE33D42" w14:textId="77777777" w:rsidTr="00AF740C">
        <w:trPr>
          <w:trHeight w:val="280"/>
        </w:trPr>
        <w:tc>
          <w:tcPr>
            <w:tcW w:w="2425" w:type="dxa"/>
            <w:noWrap/>
            <w:hideMark/>
          </w:tcPr>
          <w:p w14:paraId="0DF8C268" w14:textId="77777777" w:rsidR="008C7A95" w:rsidRPr="00524A62" w:rsidRDefault="008C7A95" w:rsidP="008C7A95">
            <w:pPr>
              <w:rPr>
                <w:rFonts w:cstheme="minorHAnsi"/>
                <w:lang w:val="en-US" w:eastAsia="en-IN"/>
              </w:rPr>
            </w:pPr>
            <w:r w:rsidRPr="00524A62">
              <w:rPr>
                <w:rFonts w:cstheme="minorHAnsi"/>
                <w:lang w:val="en-US" w:eastAsia="en-IN"/>
              </w:rPr>
              <w:lastRenderedPageBreak/>
              <w:t>TGC_certificates_granted</w:t>
            </w:r>
          </w:p>
        </w:tc>
        <w:tc>
          <w:tcPr>
            <w:tcW w:w="3960" w:type="dxa"/>
          </w:tcPr>
          <w:p w14:paraId="1B46C38F" w14:textId="77777777" w:rsidR="008C7A95" w:rsidRPr="00524A62" w:rsidRDefault="008C7A95" w:rsidP="008C7A95">
            <w:pPr>
              <w:rPr>
                <w:rFonts w:cstheme="minorHAnsi"/>
                <w:lang w:val="en-US" w:eastAsia="en-IN"/>
              </w:rPr>
            </w:pPr>
            <w:r w:rsidRPr="00524A62">
              <w:rPr>
                <w:rFonts w:cstheme="minorHAnsi"/>
                <w:lang w:val="en-US"/>
              </w:rPr>
              <w:t>The number of certificates awarded per technology (if different for different renewable technologies)</w:t>
            </w:r>
          </w:p>
        </w:tc>
        <w:tc>
          <w:tcPr>
            <w:tcW w:w="3511" w:type="dxa"/>
            <w:noWrap/>
            <w:hideMark/>
          </w:tcPr>
          <w:p w14:paraId="04C90C23" w14:textId="77777777" w:rsidR="008C7A95" w:rsidRPr="00524A62" w:rsidRDefault="008C7A95" w:rsidP="008C7A95">
            <w:pPr>
              <w:rPr>
                <w:rFonts w:cstheme="minorHAnsi"/>
                <w:lang w:val="en-US" w:eastAsia="en-IN"/>
              </w:rPr>
            </w:pPr>
            <w:r w:rsidRPr="00524A62">
              <w:rPr>
                <w:rFonts w:cstheme="minorHAnsi"/>
                <w:lang w:val="en-US" w:eastAsia="en-IN"/>
              </w:rPr>
              <w:t>numeric</w:t>
            </w:r>
          </w:p>
        </w:tc>
      </w:tr>
      <w:tr w:rsidR="008C7A95" w:rsidRPr="00524A62" w14:paraId="49FEBA4F" w14:textId="77777777" w:rsidTr="00AF740C">
        <w:trPr>
          <w:trHeight w:val="280"/>
        </w:trPr>
        <w:tc>
          <w:tcPr>
            <w:tcW w:w="2425" w:type="dxa"/>
            <w:noWrap/>
            <w:hideMark/>
          </w:tcPr>
          <w:p w14:paraId="3BB1DCB3" w14:textId="77777777" w:rsidR="008C7A95" w:rsidRPr="00524A62" w:rsidRDefault="008C7A95" w:rsidP="008C7A95">
            <w:pPr>
              <w:rPr>
                <w:rFonts w:cstheme="minorHAnsi"/>
                <w:lang w:val="en-US" w:eastAsia="en-IN"/>
              </w:rPr>
            </w:pPr>
            <w:r w:rsidRPr="00524A62">
              <w:rPr>
                <w:rFonts w:cstheme="minorHAnsi"/>
                <w:lang w:val="en-US" w:eastAsia="en-IN"/>
              </w:rPr>
              <w:t>TGC_level_targetyear</w:t>
            </w:r>
          </w:p>
        </w:tc>
        <w:tc>
          <w:tcPr>
            <w:tcW w:w="3960" w:type="dxa"/>
          </w:tcPr>
          <w:p w14:paraId="316CA30F" w14:textId="77777777" w:rsidR="008C7A95" w:rsidRPr="00524A62" w:rsidRDefault="008C7A95" w:rsidP="008C7A95">
            <w:pPr>
              <w:rPr>
                <w:rFonts w:cstheme="minorHAnsi"/>
                <w:lang w:val="en-US" w:eastAsia="en-IN"/>
              </w:rPr>
            </w:pPr>
            <w:r w:rsidRPr="00524A62">
              <w:rPr>
                <w:rFonts w:cstheme="minorHAnsi"/>
                <w:lang w:val="en-US"/>
              </w:rPr>
              <w:t>The year by which the long-term goal is to be achieved</w:t>
            </w:r>
          </w:p>
        </w:tc>
        <w:tc>
          <w:tcPr>
            <w:tcW w:w="3511" w:type="dxa"/>
            <w:noWrap/>
            <w:hideMark/>
          </w:tcPr>
          <w:p w14:paraId="2FB83CBC" w14:textId="77777777" w:rsidR="008C7A95" w:rsidRPr="00524A62" w:rsidRDefault="008C7A95" w:rsidP="008C7A95">
            <w:pPr>
              <w:rPr>
                <w:rFonts w:cstheme="minorHAnsi"/>
                <w:lang w:val="en-US" w:eastAsia="en-IN"/>
              </w:rPr>
            </w:pPr>
            <w:r w:rsidRPr="00524A62">
              <w:rPr>
                <w:rFonts w:cstheme="minorHAnsi"/>
                <w:lang w:val="en-US" w:eastAsia="en-IN"/>
              </w:rPr>
              <w:t>numeric</w:t>
            </w:r>
          </w:p>
        </w:tc>
      </w:tr>
      <w:tr w:rsidR="008C7A95" w:rsidRPr="00524A62" w14:paraId="71FE6AEE" w14:textId="77777777" w:rsidTr="00AF740C">
        <w:trPr>
          <w:trHeight w:val="280"/>
        </w:trPr>
        <w:tc>
          <w:tcPr>
            <w:tcW w:w="2425" w:type="dxa"/>
            <w:noWrap/>
            <w:hideMark/>
          </w:tcPr>
          <w:p w14:paraId="4C3E4383" w14:textId="77777777" w:rsidR="008C7A95" w:rsidRPr="00524A62" w:rsidRDefault="008C7A95" w:rsidP="008C7A95">
            <w:pPr>
              <w:rPr>
                <w:rFonts w:cstheme="minorHAnsi"/>
                <w:lang w:val="en-US" w:eastAsia="en-IN"/>
              </w:rPr>
            </w:pPr>
            <w:r w:rsidRPr="00524A62">
              <w:rPr>
                <w:rFonts w:cstheme="minorHAnsi"/>
                <w:lang w:val="en-US" w:eastAsia="en-IN"/>
              </w:rPr>
              <w:t>TGC_price_currency</w:t>
            </w:r>
          </w:p>
        </w:tc>
        <w:tc>
          <w:tcPr>
            <w:tcW w:w="3960" w:type="dxa"/>
          </w:tcPr>
          <w:p w14:paraId="0BB0D820" w14:textId="77777777" w:rsidR="008C7A95" w:rsidRPr="00524A62" w:rsidRDefault="008C7A95" w:rsidP="008C7A95">
            <w:pPr>
              <w:rPr>
                <w:rFonts w:cstheme="minorHAnsi"/>
                <w:lang w:val="en-US" w:eastAsia="en-IN"/>
              </w:rPr>
            </w:pPr>
            <w:r w:rsidRPr="00524A62">
              <w:rPr>
                <w:rFonts w:cstheme="minorHAnsi"/>
                <w:lang w:val="en-US"/>
              </w:rPr>
              <w:t>The original currency of the TGC price (both floor and ceiling prices)</w:t>
            </w:r>
          </w:p>
        </w:tc>
        <w:tc>
          <w:tcPr>
            <w:tcW w:w="3511" w:type="dxa"/>
            <w:noWrap/>
            <w:hideMark/>
          </w:tcPr>
          <w:p w14:paraId="1A600DCE" w14:textId="77777777" w:rsidR="008C7A95" w:rsidRPr="00524A62" w:rsidRDefault="008C7A95" w:rsidP="008C7A95">
            <w:pPr>
              <w:rPr>
                <w:rFonts w:cstheme="minorHAnsi"/>
                <w:lang w:val="en-US" w:eastAsia="en-IN"/>
              </w:rPr>
            </w:pPr>
            <w:r w:rsidRPr="00524A62">
              <w:rPr>
                <w:rFonts w:cstheme="minorHAnsi"/>
                <w:lang w:val="en-US" w:eastAsia="en-IN"/>
              </w:rPr>
              <w:t>EUR</w:t>
            </w:r>
          </w:p>
        </w:tc>
      </w:tr>
      <w:tr w:rsidR="008C7A95" w:rsidRPr="00524A62" w14:paraId="006000BB" w14:textId="77777777" w:rsidTr="00AF740C">
        <w:trPr>
          <w:trHeight w:val="280"/>
        </w:trPr>
        <w:tc>
          <w:tcPr>
            <w:tcW w:w="2425" w:type="dxa"/>
            <w:noWrap/>
            <w:hideMark/>
          </w:tcPr>
          <w:p w14:paraId="48591729" w14:textId="77777777" w:rsidR="008C7A95" w:rsidRPr="00524A62" w:rsidRDefault="008C7A95" w:rsidP="008C7A95">
            <w:pPr>
              <w:rPr>
                <w:rFonts w:cstheme="minorHAnsi"/>
                <w:lang w:val="en-US" w:eastAsia="en-IN"/>
              </w:rPr>
            </w:pPr>
            <w:r w:rsidRPr="00524A62">
              <w:rPr>
                <w:rFonts w:cstheme="minorHAnsi"/>
                <w:lang w:val="en-US" w:eastAsia="en-IN"/>
              </w:rPr>
              <w:t>TGC_price_max</w:t>
            </w:r>
          </w:p>
        </w:tc>
        <w:tc>
          <w:tcPr>
            <w:tcW w:w="3960" w:type="dxa"/>
          </w:tcPr>
          <w:p w14:paraId="1CDA4C8C" w14:textId="77777777" w:rsidR="008C7A95" w:rsidRPr="00524A62" w:rsidRDefault="008C7A95" w:rsidP="008C7A95">
            <w:pPr>
              <w:rPr>
                <w:rFonts w:cstheme="minorHAnsi"/>
                <w:lang w:val="en-US" w:eastAsia="en-IN"/>
              </w:rPr>
            </w:pPr>
            <w:r w:rsidRPr="00524A62">
              <w:rPr>
                <w:rFonts w:cstheme="minorHAnsi"/>
                <w:lang w:val="en-US"/>
              </w:rPr>
              <w:t>The maximum permissible price for green certificates (ceiling price)</w:t>
            </w:r>
          </w:p>
        </w:tc>
        <w:tc>
          <w:tcPr>
            <w:tcW w:w="3511" w:type="dxa"/>
            <w:noWrap/>
            <w:hideMark/>
          </w:tcPr>
          <w:p w14:paraId="7DB769BA" w14:textId="77777777" w:rsidR="008C7A95" w:rsidRPr="00524A62" w:rsidRDefault="008C7A95" w:rsidP="008C7A95">
            <w:pPr>
              <w:rPr>
                <w:rFonts w:cstheme="minorHAnsi"/>
                <w:lang w:val="en-US" w:eastAsia="en-IN"/>
              </w:rPr>
            </w:pPr>
            <w:r w:rsidRPr="00524A62">
              <w:rPr>
                <w:rFonts w:cstheme="minorHAnsi"/>
                <w:lang w:val="en-US" w:eastAsia="en-IN"/>
              </w:rPr>
              <w:t>numeric</w:t>
            </w:r>
          </w:p>
        </w:tc>
      </w:tr>
      <w:tr w:rsidR="008C7A95" w:rsidRPr="00524A62" w14:paraId="457436D3" w14:textId="77777777" w:rsidTr="00AF740C">
        <w:trPr>
          <w:trHeight w:val="280"/>
        </w:trPr>
        <w:tc>
          <w:tcPr>
            <w:tcW w:w="2425" w:type="dxa"/>
            <w:noWrap/>
            <w:hideMark/>
          </w:tcPr>
          <w:p w14:paraId="3433EDBD" w14:textId="77777777" w:rsidR="008C7A95" w:rsidRPr="00524A62" w:rsidRDefault="008C7A95" w:rsidP="008C7A95">
            <w:pPr>
              <w:rPr>
                <w:rFonts w:cstheme="minorHAnsi"/>
                <w:lang w:val="en-US" w:eastAsia="en-IN"/>
              </w:rPr>
            </w:pPr>
            <w:r w:rsidRPr="00524A62">
              <w:rPr>
                <w:rFonts w:cstheme="minorHAnsi"/>
                <w:lang w:val="en-US" w:eastAsia="en-IN"/>
              </w:rPr>
              <w:t>TGC_price_min</w:t>
            </w:r>
          </w:p>
        </w:tc>
        <w:tc>
          <w:tcPr>
            <w:tcW w:w="3960" w:type="dxa"/>
          </w:tcPr>
          <w:p w14:paraId="47344114" w14:textId="77777777" w:rsidR="008C7A95" w:rsidRPr="00524A62" w:rsidRDefault="008C7A95" w:rsidP="008C7A95">
            <w:pPr>
              <w:rPr>
                <w:rFonts w:cstheme="minorHAnsi"/>
                <w:lang w:val="en-US" w:eastAsia="en-IN"/>
              </w:rPr>
            </w:pPr>
            <w:r w:rsidRPr="00524A62">
              <w:rPr>
                <w:rFonts w:cstheme="minorHAnsi"/>
                <w:lang w:val="en-US"/>
              </w:rPr>
              <w:t>The lowest permissible price for green certificates</w:t>
            </w:r>
          </w:p>
        </w:tc>
        <w:tc>
          <w:tcPr>
            <w:tcW w:w="3511" w:type="dxa"/>
            <w:noWrap/>
            <w:hideMark/>
          </w:tcPr>
          <w:p w14:paraId="3AB178CD" w14:textId="77777777" w:rsidR="008C7A95" w:rsidRPr="00524A62" w:rsidRDefault="008C7A95" w:rsidP="008C7A95">
            <w:pPr>
              <w:rPr>
                <w:rFonts w:cstheme="minorHAnsi"/>
                <w:lang w:val="en-US" w:eastAsia="en-IN"/>
              </w:rPr>
            </w:pPr>
            <w:r w:rsidRPr="00524A62">
              <w:rPr>
                <w:rFonts w:cstheme="minorHAnsi"/>
                <w:lang w:val="en-US" w:eastAsia="en-IN"/>
              </w:rPr>
              <w:t>numeric</w:t>
            </w:r>
          </w:p>
        </w:tc>
      </w:tr>
      <w:tr w:rsidR="008C7A95" w:rsidRPr="00524A62" w14:paraId="6A36C8F9" w14:textId="77777777" w:rsidTr="00AF740C">
        <w:trPr>
          <w:trHeight w:val="280"/>
        </w:trPr>
        <w:tc>
          <w:tcPr>
            <w:tcW w:w="2425" w:type="dxa"/>
            <w:noWrap/>
            <w:hideMark/>
          </w:tcPr>
          <w:p w14:paraId="460F8671" w14:textId="77777777" w:rsidR="008C7A95" w:rsidRPr="00524A62" w:rsidRDefault="008C7A95" w:rsidP="008C7A95">
            <w:pPr>
              <w:rPr>
                <w:rFonts w:cstheme="minorHAnsi"/>
                <w:lang w:val="en-US" w:eastAsia="en-IN"/>
              </w:rPr>
            </w:pPr>
            <w:r w:rsidRPr="00524A62">
              <w:rPr>
                <w:rFonts w:cstheme="minorHAnsi"/>
                <w:lang w:val="en-US" w:eastAsia="en-IN"/>
              </w:rPr>
              <w:t>TGC_price_unit</w:t>
            </w:r>
          </w:p>
        </w:tc>
        <w:tc>
          <w:tcPr>
            <w:tcW w:w="3960" w:type="dxa"/>
          </w:tcPr>
          <w:p w14:paraId="5CA583DA" w14:textId="77777777" w:rsidR="008C7A95" w:rsidRPr="00524A62" w:rsidRDefault="008C7A95" w:rsidP="008C7A95">
            <w:pPr>
              <w:pStyle w:val="Default"/>
              <w:rPr>
                <w:rFonts w:asciiTheme="minorHAnsi" w:hAnsiTheme="minorHAnsi" w:cstheme="minorHAnsi"/>
                <w:sz w:val="22"/>
                <w:szCs w:val="22"/>
              </w:rPr>
            </w:pPr>
            <w:r w:rsidRPr="00524A62">
              <w:rPr>
                <w:rFonts w:asciiTheme="minorHAnsi" w:hAnsiTheme="minorHAnsi" w:cstheme="minorHAnsi"/>
                <w:sz w:val="22"/>
                <w:szCs w:val="22"/>
              </w:rPr>
              <w:t xml:space="preserve">The unit of the TGC price (both floor and ceiling prices) </w:t>
            </w:r>
          </w:p>
        </w:tc>
        <w:tc>
          <w:tcPr>
            <w:tcW w:w="3511" w:type="dxa"/>
            <w:noWrap/>
            <w:hideMark/>
          </w:tcPr>
          <w:p w14:paraId="54C02420" w14:textId="77777777" w:rsidR="008C7A95" w:rsidRPr="00524A62" w:rsidRDefault="008C7A95" w:rsidP="008C7A95">
            <w:pPr>
              <w:rPr>
                <w:rFonts w:cstheme="minorHAnsi"/>
                <w:lang w:val="en-US" w:eastAsia="en-IN"/>
              </w:rPr>
            </w:pPr>
            <w:r w:rsidRPr="00524A62">
              <w:rPr>
                <w:rFonts w:cstheme="minorHAnsi"/>
                <w:lang w:val="en-US" w:eastAsia="en-IN"/>
              </w:rPr>
              <w:t>kWh</w:t>
            </w:r>
          </w:p>
        </w:tc>
      </w:tr>
      <w:tr w:rsidR="008C7A95" w:rsidRPr="00524A62" w14:paraId="4A0EBF4F" w14:textId="77777777" w:rsidTr="00AF740C">
        <w:trPr>
          <w:trHeight w:val="280"/>
        </w:trPr>
        <w:tc>
          <w:tcPr>
            <w:tcW w:w="2425" w:type="dxa"/>
            <w:noWrap/>
            <w:hideMark/>
          </w:tcPr>
          <w:p w14:paraId="52C8E122" w14:textId="77777777" w:rsidR="008C7A95" w:rsidRPr="00524A62" w:rsidRDefault="008C7A95" w:rsidP="008C7A95">
            <w:pPr>
              <w:rPr>
                <w:rFonts w:cstheme="minorHAnsi"/>
                <w:lang w:val="en-US" w:eastAsia="en-IN"/>
              </w:rPr>
            </w:pPr>
            <w:r w:rsidRPr="00524A62">
              <w:rPr>
                <w:rFonts w:cstheme="minorHAnsi"/>
                <w:lang w:val="en-US" w:eastAsia="en-IN"/>
              </w:rPr>
              <w:t>TGC_target_level</w:t>
            </w:r>
          </w:p>
        </w:tc>
        <w:tc>
          <w:tcPr>
            <w:tcW w:w="3960" w:type="dxa"/>
          </w:tcPr>
          <w:p w14:paraId="7F71A5AC" w14:textId="4BB2D0BB" w:rsidR="008C7A95" w:rsidRPr="00524A62" w:rsidRDefault="008C7A95" w:rsidP="008C7A95">
            <w:pPr>
              <w:rPr>
                <w:rFonts w:cstheme="minorHAnsi"/>
                <w:lang w:val="en-US" w:eastAsia="en-IN"/>
              </w:rPr>
            </w:pPr>
            <w:r w:rsidRPr="00524A62">
              <w:rPr>
                <w:rFonts w:cstheme="minorHAnsi"/>
                <w:lang w:val="en-US"/>
              </w:rPr>
              <w:t>The level of the long-term goal for the share</w:t>
            </w:r>
            <w:r w:rsidR="00D16254" w:rsidRPr="00524A62">
              <w:rPr>
                <w:rFonts w:cstheme="minorHAnsi"/>
                <w:lang w:val="en-US"/>
              </w:rPr>
              <w:t xml:space="preserve"> or </w:t>
            </w:r>
            <w:r w:rsidRPr="00524A62">
              <w:rPr>
                <w:rFonts w:cstheme="minorHAnsi"/>
                <w:lang w:val="en-US"/>
              </w:rPr>
              <w:t xml:space="preserve">amount of renewables </w:t>
            </w:r>
          </w:p>
        </w:tc>
        <w:tc>
          <w:tcPr>
            <w:tcW w:w="3511" w:type="dxa"/>
            <w:noWrap/>
            <w:hideMark/>
          </w:tcPr>
          <w:p w14:paraId="45EDACE6" w14:textId="77777777" w:rsidR="008C7A95" w:rsidRPr="00524A62" w:rsidRDefault="008C7A95" w:rsidP="008C7A95">
            <w:pPr>
              <w:rPr>
                <w:rFonts w:cstheme="minorHAnsi"/>
                <w:lang w:val="en-US" w:eastAsia="en-IN"/>
              </w:rPr>
            </w:pPr>
            <w:r w:rsidRPr="00524A62">
              <w:rPr>
                <w:rFonts w:cstheme="minorHAnsi"/>
                <w:lang w:val="en-US" w:eastAsia="en-IN"/>
              </w:rPr>
              <w:t>numeric</w:t>
            </w:r>
          </w:p>
        </w:tc>
      </w:tr>
      <w:tr w:rsidR="008C7A95" w:rsidRPr="00524A62" w14:paraId="40D7B728" w14:textId="77777777" w:rsidTr="00AF740C">
        <w:trPr>
          <w:trHeight w:val="280"/>
        </w:trPr>
        <w:tc>
          <w:tcPr>
            <w:tcW w:w="2425" w:type="dxa"/>
            <w:noWrap/>
            <w:hideMark/>
          </w:tcPr>
          <w:p w14:paraId="6073252C" w14:textId="77777777" w:rsidR="008C7A95" w:rsidRPr="00524A62" w:rsidRDefault="008C7A95" w:rsidP="008C7A95">
            <w:pPr>
              <w:rPr>
                <w:rFonts w:cstheme="minorHAnsi"/>
                <w:lang w:val="en-US" w:eastAsia="en-IN"/>
              </w:rPr>
            </w:pPr>
            <w:r w:rsidRPr="00524A62">
              <w:rPr>
                <w:rFonts w:cstheme="minorHAnsi"/>
                <w:lang w:val="en-US" w:eastAsia="en-IN"/>
              </w:rPr>
              <w:t>TGC_target_level_unit</w:t>
            </w:r>
          </w:p>
        </w:tc>
        <w:tc>
          <w:tcPr>
            <w:tcW w:w="3960" w:type="dxa"/>
          </w:tcPr>
          <w:p w14:paraId="3C65E9F1" w14:textId="77777777" w:rsidR="008C7A95" w:rsidRPr="00524A62" w:rsidRDefault="008C7A95" w:rsidP="008C7A95">
            <w:pPr>
              <w:rPr>
                <w:rFonts w:cstheme="minorHAnsi"/>
                <w:lang w:val="en-US" w:eastAsia="en-IN"/>
              </w:rPr>
            </w:pPr>
            <w:r w:rsidRPr="00524A62">
              <w:rPr>
                <w:rFonts w:cstheme="minorHAnsi"/>
                <w:lang w:val="en-US"/>
              </w:rPr>
              <w:t>The unit of the target goal in more detail</w:t>
            </w:r>
          </w:p>
        </w:tc>
        <w:tc>
          <w:tcPr>
            <w:tcW w:w="3511" w:type="dxa"/>
            <w:noWrap/>
            <w:hideMark/>
          </w:tcPr>
          <w:p w14:paraId="2CCC9E0A" w14:textId="77777777" w:rsidR="008C7A95" w:rsidRPr="00524A62" w:rsidRDefault="008C7A95" w:rsidP="008C7A95">
            <w:pPr>
              <w:rPr>
                <w:rFonts w:cstheme="minorHAnsi"/>
                <w:lang w:val="en-US" w:eastAsia="en-IN"/>
              </w:rPr>
            </w:pPr>
            <w:r w:rsidRPr="00524A62">
              <w:rPr>
                <w:rFonts w:cstheme="minorHAnsi"/>
                <w:lang w:val="en-US" w:eastAsia="en-IN"/>
              </w:rPr>
              <w:t>% all power generation, % renewable energy in total energy distribution, % total electricity consumption…. (see dataset)</w:t>
            </w:r>
          </w:p>
        </w:tc>
      </w:tr>
      <w:tr w:rsidR="008C7A95" w:rsidRPr="00524A62" w14:paraId="0263ED9A" w14:textId="77777777" w:rsidTr="00AF740C">
        <w:trPr>
          <w:trHeight w:val="280"/>
        </w:trPr>
        <w:tc>
          <w:tcPr>
            <w:tcW w:w="2425" w:type="dxa"/>
            <w:noWrap/>
            <w:hideMark/>
          </w:tcPr>
          <w:p w14:paraId="2E9A44FC" w14:textId="77777777" w:rsidR="008C7A95" w:rsidRPr="00524A62" w:rsidRDefault="008C7A95" w:rsidP="008C7A95">
            <w:pPr>
              <w:rPr>
                <w:rFonts w:cstheme="minorHAnsi"/>
                <w:lang w:val="en-US" w:eastAsia="en-IN"/>
              </w:rPr>
            </w:pPr>
            <w:r w:rsidRPr="00524A62">
              <w:rPr>
                <w:rFonts w:cstheme="minorHAnsi"/>
                <w:lang w:val="en-US" w:eastAsia="en-IN"/>
              </w:rPr>
              <w:t>year</w:t>
            </w:r>
          </w:p>
        </w:tc>
        <w:tc>
          <w:tcPr>
            <w:tcW w:w="3960" w:type="dxa"/>
          </w:tcPr>
          <w:p w14:paraId="6F554E03" w14:textId="77777777" w:rsidR="008C7A95" w:rsidRPr="00524A62" w:rsidRDefault="008C7A95" w:rsidP="008C7A95">
            <w:pPr>
              <w:rPr>
                <w:rFonts w:cstheme="minorHAnsi"/>
                <w:lang w:val="en-US" w:eastAsia="en-IN"/>
              </w:rPr>
            </w:pPr>
            <w:r w:rsidRPr="00524A62">
              <w:rPr>
                <w:rFonts w:cstheme="minorHAnsi"/>
                <w:lang w:val="en-US" w:eastAsia="en-IN"/>
              </w:rPr>
              <w:t>The year observed</w:t>
            </w:r>
          </w:p>
        </w:tc>
        <w:tc>
          <w:tcPr>
            <w:tcW w:w="3511" w:type="dxa"/>
            <w:noWrap/>
            <w:hideMark/>
          </w:tcPr>
          <w:p w14:paraId="369EBA75" w14:textId="77777777" w:rsidR="008C7A95" w:rsidRPr="00524A62" w:rsidRDefault="008C7A95" w:rsidP="008C7A95">
            <w:pPr>
              <w:rPr>
                <w:rFonts w:cstheme="minorHAnsi"/>
                <w:lang w:val="en-US" w:eastAsia="en-IN"/>
              </w:rPr>
            </w:pPr>
            <w:r w:rsidRPr="00524A62">
              <w:rPr>
                <w:rFonts w:cstheme="minorHAnsi"/>
                <w:lang w:val="en-US" w:eastAsia="en-IN"/>
              </w:rPr>
              <w:t>numeric</w:t>
            </w:r>
          </w:p>
        </w:tc>
      </w:tr>
    </w:tbl>
    <w:p w14:paraId="7ABB4F85" w14:textId="22F43354" w:rsidR="00C212D1" w:rsidRPr="00524A62" w:rsidRDefault="00C212D1" w:rsidP="00C212D1">
      <w:pPr>
        <w:pStyle w:val="Heading1"/>
        <w:rPr>
          <w:lang w:val="en-US" w:eastAsia="en-IN"/>
        </w:rPr>
      </w:pPr>
      <w:bookmarkStart w:id="42" w:name="_Toc219972890"/>
      <w:bookmarkEnd w:id="0"/>
      <w:r w:rsidRPr="00524A62">
        <w:rPr>
          <w:lang w:val="en-US" w:eastAsia="en-IN"/>
        </w:rPr>
        <w:t>References</w:t>
      </w:r>
      <w:bookmarkEnd w:id="42"/>
    </w:p>
    <w:p w14:paraId="31A8EA48" w14:textId="77777777" w:rsidR="00C212D1" w:rsidRPr="00524A62" w:rsidRDefault="00C212D1" w:rsidP="00C212D1">
      <w:pPr>
        <w:pStyle w:val="EndNoteBibliography"/>
        <w:spacing w:after="0"/>
        <w:ind w:left="720" w:hanging="720"/>
      </w:pPr>
      <w:r w:rsidRPr="00524A62">
        <w:rPr>
          <w:rFonts w:cstheme="minorHAnsi"/>
          <w:lang w:eastAsia="en-IN"/>
        </w:rPr>
        <w:fldChar w:fldCharType="begin"/>
      </w:r>
      <w:r w:rsidRPr="00524A62">
        <w:rPr>
          <w:rFonts w:cstheme="minorHAnsi"/>
          <w:lang w:eastAsia="en-IN"/>
        </w:rPr>
        <w:instrText xml:space="preserve"> ADDIN EN.REFLIST </w:instrText>
      </w:r>
      <w:r w:rsidRPr="00524A62">
        <w:rPr>
          <w:rFonts w:cstheme="minorHAnsi"/>
          <w:lang w:eastAsia="en-IN"/>
        </w:rPr>
        <w:fldChar w:fldCharType="separate"/>
      </w:r>
      <w:r w:rsidRPr="00524A62">
        <w:t xml:space="preserve">Bemelmans-Videc, M.-L., Rist, R. C., &amp; Vedung, E. O. (2011). </w:t>
      </w:r>
      <w:r w:rsidRPr="00524A62">
        <w:rPr>
          <w:i/>
        </w:rPr>
        <w:t>Carrots, sticks, and sermons: Policy instruments and their evaluation</w:t>
      </w:r>
      <w:r w:rsidRPr="00524A62">
        <w:t xml:space="preserve"> (Vol. 1). Transaction Publishers. </w:t>
      </w:r>
    </w:p>
    <w:p w14:paraId="50B2C239" w14:textId="76FC1713" w:rsidR="00C212D1" w:rsidRPr="00524A62" w:rsidRDefault="00C212D1" w:rsidP="00C212D1">
      <w:pPr>
        <w:pStyle w:val="EndNoteBibliography"/>
        <w:spacing w:after="0"/>
        <w:ind w:left="720" w:hanging="720"/>
      </w:pPr>
      <w:r w:rsidRPr="00524A62">
        <w:t xml:space="preserve">Howlett, M. (2014). Chapter 9. Policy Design What, Who, How and Why? In C. Halpern, Lascoumes, P. and Le Galès, P. (Ed.), </w:t>
      </w:r>
      <w:r w:rsidRPr="00524A62">
        <w:rPr>
          <w:i/>
        </w:rPr>
        <w:t>L'instrumentation de l'action publique Controverses, résistance, effets.</w:t>
      </w:r>
      <w:r w:rsidRPr="00524A62">
        <w:t xml:space="preserve"> (pp. 281–316). </w:t>
      </w:r>
      <w:hyperlink r:id="rId21" w:history="1">
        <w:r w:rsidRPr="00524A62">
          <w:rPr>
            <w:rStyle w:val="Hyperlink"/>
          </w:rPr>
          <w:t>https://doi.org/https://doi.org/10.3917/scpo.halpe.2014.01.0281</w:t>
        </w:r>
      </w:hyperlink>
      <w:r w:rsidRPr="00524A62">
        <w:t xml:space="preserve"> </w:t>
      </w:r>
    </w:p>
    <w:p w14:paraId="30B72974" w14:textId="77777777" w:rsidR="00C212D1" w:rsidRPr="00524A62" w:rsidRDefault="00C212D1" w:rsidP="00C212D1">
      <w:pPr>
        <w:pStyle w:val="EndNoteBibliography"/>
        <w:ind w:left="720" w:hanging="720"/>
      </w:pPr>
      <w:r w:rsidRPr="00524A62">
        <w:t xml:space="preserve">Kessler, L., Morvillier, F., Perrier, Q., &amp; Rucheton, K. (2023). An ex-ante evaluation of the French car feebate. </w:t>
      </w:r>
      <w:r w:rsidRPr="00524A62">
        <w:rPr>
          <w:i/>
        </w:rPr>
        <w:t>Energy Policy</w:t>
      </w:r>
      <w:r w:rsidRPr="00524A62">
        <w:t>,</w:t>
      </w:r>
      <w:r w:rsidRPr="00524A62">
        <w:rPr>
          <w:i/>
        </w:rPr>
        <w:t xml:space="preserve"> 173</w:t>
      </w:r>
      <w:r w:rsidRPr="00524A62">
        <w:t xml:space="preserve">, 113335. </w:t>
      </w:r>
    </w:p>
    <w:p w14:paraId="0DB1C07B" w14:textId="3242334F" w:rsidR="0049018D" w:rsidRPr="00524A62" w:rsidRDefault="00C212D1" w:rsidP="000B3C90">
      <w:pPr>
        <w:rPr>
          <w:rFonts w:cstheme="minorHAnsi"/>
          <w:lang w:val="en-US" w:eastAsia="en-IN"/>
        </w:rPr>
      </w:pPr>
      <w:r w:rsidRPr="00524A62">
        <w:rPr>
          <w:rFonts w:cstheme="minorHAnsi"/>
          <w:lang w:val="en-US" w:eastAsia="en-IN"/>
        </w:rPr>
        <w:fldChar w:fldCharType="end"/>
      </w:r>
    </w:p>
    <w:sectPr w:rsidR="0049018D" w:rsidRPr="00524A62" w:rsidSect="0049018D">
      <w:headerReference w:type="default" r:id="rId22"/>
      <w:footerReference w:type="default" r:id="rId23"/>
      <w:headerReference w:type="first" r:id="rId24"/>
      <w:footerReference w:type="first" r:id="rId25"/>
      <w:pgSz w:w="11906" w:h="16838"/>
      <w:pgMar w:top="1417" w:right="1417" w:bottom="1134"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1E768" w14:textId="77777777" w:rsidR="00345883" w:rsidRDefault="00345883">
      <w:pPr>
        <w:spacing w:after="0" w:line="240" w:lineRule="auto"/>
      </w:pPr>
      <w:r>
        <w:separator/>
      </w:r>
    </w:p>
  </w:endnote>
  <w:endnote w:type="continuationSeparator" w:id="0">
    <w:p w14:paraId="6B84E23D" w14:textId="77777777" w:rsidR="00345883" w:rsidRDefault="003458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513"/>
      <w:gridCol w:w="1559"/>
    </w:tblGrid>
    <w:tr w:rsidR="0043216F" w14:paraId="4E8EFE98" w14:textId="77777777">
      <w:trPr>
        <w:trHeight w:val="727"/>
      </w:trPr>
      <w:tc>
        <w:tcPr>
          <w:tcW w:w="4141" w:type="pct"/>
          <w:tcBorders>
            <w:right w:val="single" w:sz="4" w:space="0" w:color="D7006E" w:themeColor="accent2"/>
          </w:tcBorders>
        </w:tcPr>
        <w:p w14:paraId="50A4AE0B" w14:textId="0EB31249" w:rsidR="0043216F" w:rsidRPr="006454DA" w:rsidRDefault="0043216F" w:rsidP="006454DA">
          <w:pPr>
            <w:rPr>
              <w:rFonts w:cstheme="minorHAnsi"/>
            </w:rPr>
          </w:pPr>
        </w:p>
      </w:tc>
      <w:tc>
        <w:tcPr>
          <w:tcW w:w="859" w:type="pct"/>
          <w:tcBorders>
            <w:left w:val="single" w:sz="4" w:space="0" w:color="D7006E" w:themeColor="accent2"/>
          </w:tcBorders>
        </w:tcPr>
        <w:p w14:paraId="58B5B935" w14:textId="77777777" w:rsidR="0043216F" w:rsidRDefault="007C4165">
          <w:pPr>
            <w:tabs>
              <w:tab w:val="left" w:pos="1490"/>
            </w:tabs>
            <w:jc w:val="right"/>
            <w:rPr>
              <w:rFonts w:asciiTheme="majorHAnsi" w:eastAsiaTheme="majorEastAsia" w:hAnsiTheme="majorHAnsi" w:cstheme="majorBidi"/>
              <w:sz w:val="28"/>
              <w:szCs w:val="28"/>
            </w:rPr>
          </w:pPr>
          <w:r>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of </w:t>
          </w:r>
          <w:r>
            <w:rPr>
              <w:b/>
              <w:bCs/>
            </w:rPr>
            <w:fldChar w:fldCharType="begin"/>
          </w:r>
          <w:r>
            <w:rPr>
              <w:b/>
              <w:bCs/>
            </w:rPr>
            <w:instrText>NUMPAGES  \* Arabic  \* MERGEFORMAT</w:instrText>
          </w:r>
          <w:r>
            <w:rPr>
              <w:b/>
              <w:bCs/>
            </w:rPr>
            <w:fldChar w:fldCharType="separate"/>
          </w:r>
          <w:r>
            <w:rPr>
              <w:b/>
              <w:bCs/>
            </w:rPr>
            <w:t>2</w:t>
          </w:r>
          <w:r>
            <w:rPr>
              <w:b/>
              <w:bCs/>
            </w:rPr>
            <w:fldChar w:fldCharType="end"/>
          </w:r>
        </w:p>
      </w:tc>
    </w:tr>
  </w:tbl>
  <w:p w14:paraId="5EC9ECFA" w14:textId="77777777" w:rsidR="0043216F" w:rsidRDefault="004321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9067"/>
    </w:tblGrid>
    <w:tr w:rsidR="0049018D" w14:paraId="0E954001" w14:textId="77777777" w:rsidTr="0005606D">
      <w:trPr>
        <w:trHeight w:val="727"/>
      </w:trPr>
      <w:tc>
        <w:tcPr>
          <w:tcW w:w="859" w:type="pct"/>
          <w:tcBorders>
            <w:left w:val="single" w:sz="4" w:space="0" w:color="D7006E" w:themeColor="accent2"/>
          </w:tcBorders>
        </w:tcPr>
        <w:p w14:paraId="3B037466" w14:textId="77777777" w:rsidR="0049018D" w:rsidRDefault="0049018D" w:rsidP="0049018D">
          <w:pPr>
            <w:tabs>
              <w:tab w:val="left" w:pos="1490"/>
            </w:tabs>
            <w:jc w:val="right"/>
            <w:rPr>
              <w:rFonts w:asciiTheme="majorHAnsi" w:eastAsiaTheme="majorEastAsia" w:hAnsiTheme="majorHAnsi" w:cstheme="majorBidi"/>
              <w:sz w:val="28"/>
              <w:szCs w:val="28"/>
            </w:rPr>
          </w:pPr>
          <w:r>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of </w:t>
          </w:r>
          <w:r>
            <w:rPr>
              <w:b/>
              <w:bCs/>
            </w:rPr>
            <w:fldChar w:fldCharType="begin"/>
          </w:r>
          <w:r>
            <w:rPr>
              <w:b/>
              <w:bCs/>
            </w:rPr>
            <w:instrText>NUMPAGES  \* Arabic  \* MERGEFORMAT</w:instrText>
          </w:r>
          <w:r>
            <w:rPr>
              <w:b/>
              <w:bCs/>
            </w:rPr>
            <w:fldChar w:fldCharType="separate"/>
          </w:r>
          <w:r>
            <w:rPr>
              <w:b/>
              <w:bCs/>
            </w:rPr>
            <w:t>2</w:t>
          </w:r>
          <w:r>
            <w:rPr>
              <w:b/>
              <w:bCs/>
            </w:rPr>
            <w:fldChar w:fldCharType="end"/>
          </w:r>
        </w:p>
      </w:tc>
    </w:tr>
  </w:tbl>
  <w:p w14:paraId="153BF483" w14:textId="77777777" w:rsidR="0049018D" w:rsidRDefault="004901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08D7D" w14:textId="77777777" w:rsidR="00345883" w:rsidRDefault="00345883">
      <w:pPr>
        <w:spacing w:after="0" w:line="240" w:lineRule="auto"/>
      </w:pPr>
      <w:r>
        <w:separator/>
      </w:r>
    </w:p>
  </w:footnote>
  <w:footnote w:type="continuationSeparator" w:id="0">
    <w:p w14:paraId="3083E8FF" w14:textId="77777777" w:rsidR="00345883" w:rsidRDefault="00345883">
      <w:pPr>
        <w:spacing w:after="0" w:line="240" w:lineRule="auto"/>
      </w:pPr>
      <w:r>
        <w:continuationSeparator/>
      </w:r>
    </w:p>
  </w:footnote>
  <w:footnote w:id="1">
    <w:p w14:paraId="7B258C28" w14:textId="06EFD2A1" w:rsidR="00BD006D" w:rsidRPr="00BD006D" w:rsidRDefault="00BD006D">
      <w:pPr>
        <w:pStyle w:val="FootnoteText"/>
        <w:rPr>
          <w:lang w:val="en-US"/>
        </w:rPr>
      </w:pPr>
      <w:r>
        <w:rPr>
          <w:rStyle w:val="FootnoteReference"/>
        </w:rPr>
        <w:footnoteRef/>
      </w:r>
      <w:r w:rsidRPr="00BD006D">
        <w:rPr>
          <w:lang w:val="en-US"/>
        </w:rPr>
        <w:t xml:space="preserve"> </w:t>
      </w:r>
      <w:r>
        <w:rPr>
          <w:lang w:val="en-US"/>
        </w:rPr>
        <w:t>The one exception to this is the Czech loan “ECO Energy Program”, which applies to the whole country except for Prague.</w:t>
      </w:r>
    </w:p>
  </w:footnote>
  <w:footnote w:id="2">
    <w:p w14:paraId="740186FE" w14:textId="77777777" w:rsidR="0049018D" w:rsidRPr="003C32A5" w:rsidRDefault="0049018D" w:rsidP="0049018D">
      <w:pPr>
        <w:pStyle w:val="FootnoteText"/>
        <w:rPr>
          <w:lang w:val="en-US"/>
        </w:rPr>
      </w:pPr>
      <w:r>
        <w:rPr>
          <w:rStyle w:val="FootnoteReference"/>
        </w:rPr>
        <w:footnoteRef/>
      </w:r>
      <w:r w:rsidRPr="003C32A5">
        <w:rPr>
          <w:lang w:val="en-US"/>
        </w:rPr>
        <w:t xml:space="preserve"> </w:t>
      </w:r>
      <w:hyperlink r:id="rId1" w:history="1">
        <w:r w:rsidRPr="003C32A5">
          <w:rPr>
            <w:rStyle w:val="Hyperlink"/>
            <w:lang w:val="en-US"/>
          </w:rPr>
          <w:t>https://www.europarl.europa.eu/RegData/etudes/BRIE/2015/568329/EPRS_BRI(2015)568329_EN.pdf</w:t>
        </w:r>
      </w:hyperlink>
      <w:r w:rsidRPr="003C32A5">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7D5B2" w14:textId="77777777" w:rsidR="0043216F" w:rsidRDefault="007C4165">
    <w:pPr>
      <w:pStyle w:val="Header"/>
      <w:jc w:val="right"/>
    </w:pPr>
    <w:r>
      <w:rPr>
        <w:noProof/>
      </w:rPr>
      <mc:AlternateContent>
        <mc:Choice Requires="wpg">
          <w:drawing>
            <wp:inline distT="0" distB="0" distL="0" distR="0" wp14:anchorId="7E68DF73" wp14:editId="1851437A">
              <wp:extent cx="850900" cy="351155"/>
              <wp:effectExtent l="0" t="0" r="6350" b="0"/>
              <wp:docPr id="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850900" cy="351155"/>
                      </a:xfrm>
                      <a:prstGeom prst="rect">
                        <a:avLst/>
                      </a:prstGeom>
                      <a:noFill/>
                      <a:ln>
                        <a:noFill/>
                      </a:ln>
                    </pic:spPr>
                  </pic:pic>
                </a:graphicData>
              </a:graphic>
            </wp:inline>
          </w:drawing>
        </mc:Choice>
        <mc:Fallback xmlns:oel="http://schemas.microsoft.com/office/2019/extlst" xmlns:w16du="http://schemas.microsoft.com/office/word/2023/wordml/word16du" xmlns:w16sdtfl="http://schemas.microsoft.com/office/word/2024/wordml/sdtformatlo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67.00pt;height:27.65pt;mso-wrap-distance-left:0.00pt;mso-wrap-distance-top:0.00pt;mso-wrap-distance-right:0.00pt;mso-wrap-distance-bottom:0.00pt;z-index:1;" stroked="f">
              <v:imagedata r:id="rId2" o:title=""/>
              <o:lock v:ext="edit" rotation="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3B8D" w14:textId="5F30C26A" w:rsidR="00E2095A" w:rsidRDefault="00E2095A" w:rsidP="00E2095A">
    <w:pPr>
      <w:pStyle w:val="Header"/>
      <w:jc w:val="right"/>
    </w:pPr>
    <w:r>
      <w:rPr>
        <w:noProof/>
      </w:rPr>
      <w:drawing>
        <wp:inline distT="0" distB="0" distL="0" distR="0" wp14:anchorId="6C9F4914" wp14:editId="35C365AC">
          <wp:extent cx="850900" cy="351155"/>
          <wp:effectExtent l="0" t="0" r="6350" b="0"/>
          <wp:docPr id="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850900" cy="3511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C2936"/>
    <w:multiLevelType w:val="hybridMultilevel"/>
    <w:tmpl w:val="9B4C4B6E"/>
    <w:lvl w:ilvl="0" w:tplc="5BEA9AF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8626F"/>
    <w:multiLevelType w:val="multilevel"/>
    <w:tmpl w:val="4F4694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sz w:val="26"/>
      </w:rPr>
    </w:lvl>
    <w:lvl w:ilvl="2">
      <w:start w:val="1"/>
      <w:numFmt w:val="decimal"/>
      <w:isLgl/>
      <w:lvlText w:val="%1.%2.%3."/>
      <w:lvlJc w:val="left"/>
      <w:pPr>
        <w:ind w:left="1080" w:hanging="720"/>
      </w:pPr>
      <w:rPr>
        <w:rFonts w:hint="default"/>
        <w:b w:val="0"/>
        <w:sz w:val="26"/>
      </w:rPr>
    </w:lvl>
    <w:lvl w:ilvl="3">
      <w:start w:val="1"/>
      <w:numFmt w:val="decimal"/>
      <w:isLgl/>
      <w:lvlText w:val="%1.%2.%3.%4."/>
      <w:lvlJc w:val="left"/>
      <w:pPr>
        <w:ind w:left="1440" w:hanging="1080"/>
      </w:pPr>
      <w:rPr>
        <w:rFonts w:hint="default"/>
        <w:b w:val="0"/>
        <w:sz w:val="26"/>
      </w:rPr>
    </w:lvl>
    <w:lvl w:ilvl="4">
      <w:start w:val="1"/>
      <w:numFmt w:val="decimal"/>
      <w:isLgl/>
      <w:lvlText w:val="%1.%2.%3.%4.%5."/>
      <w:lvlJc w:val="left"/>
      <w:pPr>
        <w:ind w:left="1440" w:hanging="1080"/>
      </w:pPr>
      <w:rPr>
        <w:rFonts w:hint="default"/>
        <w:b w:val="0"/>
        <w:sz w:val="26"/>
      </w:rPr>
    </w:lvl>
    <w:lvl w:ilvl="5">
      <w:start w:val="1"/>
      <w:numFmt w:val="decimal"/>
      <w:isLgl/>
      <w:lvlText w:val="%1.%2.%3.%4.%5.%6."/>
      <w:lvlJc w:val="left"/>
      <w:pPr>
        <w:ind w:left="1800" w:hanging="1440"/>
      </w:pPr>
      <w:rPr>
        <w:rFonts w:hint="default"/>
        <w:b w:val="0"/>
        <w:sz w:val="26"/>
      </w:rPr>
    </w:lvl>
    <w:lvl w:ilvl="6">
      <w:start w:val="1"/>
      <w:numFmt w:val="decimal"/>
      <w:isLgl/>
      <w:lvlText w:val="%1.%2.%3.%4.%5.%6.%7."/>
      <w:lvlJc w:val="left"/>
      <w:pPr>
        <w:ind w:left="1800" w:hanging="1440"/>
      </w:pPr>
      <w:rPr>
        <w:rFonts w:hint="default"/>
        <w:b w:val="0"/>
        <w:sz w:val="26"/>
      </w:rPr>
    </w:lvl>
    <w:lvl w:ilvl="7">
      <w:start w:val="1"/>
      <w:numFmt w:val="decimal"/>
      <w:isLgl/>
      <w:lvlText w:val="%1.%2.%3.%4.%5.%6.%7.%8."/>
      <w:lvlJc w:val="left"/>
      <w:pPr>
        <w:ind w:left="2160" w:hanging="1800"/>
      </w:pPr>
      <w:rPr>
        <w:rFonts w:hint="default"/>
        <w:b w:val="0"/>
        <w:sz w:val="26"/>
      </w:rPr>
    </w:lvl>
    <w:lvl w:ilvl="8">
      <w:start w:val="1"/>
      <w:numFmt w:val="decimal"/>
      <w:isLgl/>
      <w:lvlText w:val="%1.%2.%3.%4.%5.%6.%7.%8.%9."/>
      <w:lvlJc w:val="left"/>
      <w:pPr>
        <w:ind w:left="2520" w:hanging="2160"/>
      </w:pPr>
      <w:rPr>
        <w:rFonts w:hint="default"/>
        <w:b w:val="0"/>
        <w:sz w:val="26"/>
      </w:rPr>
    </w:lvl>
  </w:abstractNum>
  <w:abstractNum w:abstractNumId="2" w15:restartNumberingAfterBreak="0">
    <w:nsid w:val="161E36F0"/>
    <w:multiLevelType w:val="multilevel"/>
    <w:tmpl w:val="9D94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697233"/>
    <w:multiLevelType w:val="multilevel"/>
    <w:tmpl w:val="DFE2983A"/>
    <w:lvl w:ilvl="0">
      <w:start w:val="6"/>
      <w:numFmt w:val="decimal"/>
      <w:lvlText w:val="%1"/>
      <w:lvlJc w:val="left"/>
      <w:pPr>
        <w:ind w:left="360" w:hanging="360"/>
      </w:pPr>
      <w:rPr>
        <w:rFonts w:ascii="Arial" w:eastAsia="Times New Roman" w:hAnsi="Arial" w:cs="Arial" w:hint="default"/>
        <w:color w:val="000000"/>
        <w:sz w:val="20"/>
      </w:rPr>
    </w:lvl>
    <w:lvl w:ilvl="1">
      <w:start w:val="5"/>
      <w:numFmt w:val="decimal"/>
      <w:lvlText w:val="%1.%2"/>
      <w:lvlJc w:val="left"/>
      <w:pPr>
        <w:ind w:left="360" w:hanging="360"/>
      </w:pPr>
      <w:rPr>
        <w:rFonts w:ascii="Arial" w:eastAsia="Times New Roman" w:hAnsi="Arial" w:cs="Arial" w:hint="default"/>
        <w:color w:val="000000"/>
        <w:sz w:val="20"/>
      </w:rPr>
    </w:lvl>
    <w:lvl w:ilvl="2">
      <w:start w:val="1"/>
      <w:numFmt w:val="decimal"/>
      <w:lvlText w:val="%1.%2.%3"/>
      <w:lvlJc w:val="left"/>
      <w:pPr>
        <w:ind w:left="720" w:hanging="720"/>
      </w:pPr>
      <w:rPr>
        <w:rFonts w:ascii="Arial" w:eastAsia="Times New Roman" w:hAnsi="Arial" w:cs="Arial" w:hint="default"/>
        <w:color w:val="000000"/>
        <w:sz w:val="20"/>
      </w:rPr>
    </w:lvl>
    <w:lvl w:ilvl="3">
      <w:start w:val="1"/>
      <w:numFmt w:val="decimal"/>
      <w:lvlText w:val="%1.%2.%3.%4"/>
      <w:lvlJc w:val="left"/>
      <w:pPr>
        <w:ind w:left="720" w:hanging="720"/>
      </w:pPr>
      <w:rPr>
        <w:rFonts w:ascii="Arial" w:eastAsia="Times New Roman" w:hAnsi="Arial" w:cs="Arial" w:hint="default"/>
        <w:color w:val="000000"/>
        <w:sz w:val="20"/>
      </w:rPr>
    </w:lvl>
    <w:lvl w:ilvl="4">
      <w:start w:val="1"/>
      <w:numFmt w:val="decimal"/>
      <w:lvlText w:val="%1.%2.%3.%4.%5"/>
      <w:lvlJc w:val="left"/>
      <w:pPr>
        <w:ind w:left="1080" w:hanging="1080"/>
      </w:pPr>
      <w:rPr>
        <w:rFonts w:ascii="Arial" w:eastAsia="Times New Roman" w:hAnsi="Arial" w:cs="Arial" w:hint="default"/>
        <w:color w:val="000000"/>
        <w:sz w:val="20"/>
      </w:rPr>
    </w:lvl>
    <w:lvl w:ilvl="5">
      <w:start w:val="1"/>
      <w:numFmt w:val="decimal"/>
      <w:lvlText w:val="%1.%2.%3.%4.%5.%6"/>
      <w:lvlJc w:val="left"/>
      <w:pPr>
        <w:ind w:left="1080" w:hanging="1080"/>
      </w:pPr>
      <w:rPr>
        <w:rFonts w:ascii="Arial" w:eastAsia="Times New Roman" w:hAnsi="Arial" w:cs="Arial" w:hint="default"/>
        <w:color w:val="000000"/>
        <w:sz w:val="20"/>
      </w:rPr>
    </w:lvl>
    <w:lvl w:ilvl="6">
      <w:start w:val="1"/>
      <w:numFmt w:val="decimal"/>
      <w:lvlText w:val="%1.%2.%3.%4.%5.%6.%7"/>
      <w:lvlJc w:val="left"/>
      <w:pPr>
        <w:ind w:left="1440" w:hanging="1440"/>
      </w:pPr>
      <w:rPr>
        <w:rFonts w:ascii="Arial" w:eastAsia="Times New Roman" w:hAnsi="Arial" w:cs="Arial" w:hint="default"/>
        <w:color w:val="000000"/>
        <w:sz w:val="20"/>
      </w:rPr>
    </w:lvl>
    <w:lvl w:ilvl="7">
      <w:start w:val="1"/>
      <w:numFmt w:val="decimal"/>
      <w:lvlText w:val="%1.%2.%3.%4.%5.%6.%7.%8"/>
      <w:lvlJc w:val="left"/>
      <w:pPr>
        <w:ind w:left="1440" w:hanging="1440"/>
      </w:pPr>
      <w:rPr>
        <w:rFonts w:ascii="Arial" w:eastAsia="Times New Roman" w:hAnsi="Arial" w:cs="Arial" w:hint="default"/>
        <w:color w:val="000000"/>
        <w:sz w:val="20"/>
      </w:rPr>
    </w:lvl>
    <w:lvl w:ilvl="8">
      <w:start w:val="1"/>
      <w:numFmt w:val="decimal"/>
      <w:lvlText w:val="%1.%2.%3.%4.%5.%6.%7.%8.%9"/>
      <w:lvlJc w:val="left"/>
      <w:pPr>
        <w:ind w:left="1440" w:hanging="1440"/>
      </w:pPr>
      <w:rPr>
        <w:rFonts w:ascii="Arial" w:eastAsia="Times New Roman" w:hAnsi="Arial" w:cs="Arial" w:hint="default"/>
        <w:color w:val="000000"/>
        <w:sz w:val="20"/>
      </w:rPr>
    </w:lvl>
  </w:abstractNum>
  <w:abstractNum w:abstractNumId="4" w15:restartNumberingAfterBreak="0">
    <w:nsid w:val="184F4ACC"/>
    <w:multiLevelType w:val="multilevel"/>
    <w:tmpl w:val="88025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1F2DFA"/>
    <w:multiLevelType w:val="hybridMultilevel"/>
    <w:tmpl w:val="D45C86DE"/>
    <w:lvl w:ilvl="0" w:tplc="99E2DACE">
      <w:numFmt w:val="bullet"/>
      <w:lvlText w:val="-"/>
      <w:lvlJc w:val="left"/>
      <w:pPr>
        <w:ind w:left="720" w:hanging="360"/>
      </w:pPr>
      <w:rPr>
        <w:rFonts w:ascii="Calibri" w:eastAsiaTheme="minorHAnsi" w:hAnsi="Calibri" w:cs="Calibri"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233261"/>
    <w:multiLevelType w:val="multilevel"/>
    <w:tmpl w:val="C074D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5025AA"/>
    <w:multiLevelType w:val="hybridMultilevel"/>
    <w:tmpl w:val="2856E58E"/>
    <w:lvl w:ilvl="0" w:tplc="00BED3B4">
      <w:start w:val="1"/>
      <w:numFmt w:val="bullet"/>
      <w:lvlText w:val=""/>
      <w:lvlJc w:val="left"/>
      <w:pPr>
        <w:ind w:left="1440" w:hanging="360"/>
      </w:pPr>
      <w:rPr>
        <w:rFonts w:ascii="Symbol" w:hAnsi="Symbol"/>
      </w:rPr>
    </w:lvl>
    <w:lvl w:ilvl="1" w:tplc="2F98368E">
      <w:start w:val="1"/>
      <w:numFmt w:val="bullet"/>
      <w:lvlText w:val=""/>
      <w:lvlJc w:val="left"/>
      <w:pPr>
        <w:ind w:left="1440" w:hanging="360"/>
      </w:pPr>
      <w:rPr>
        <w:rFonts w:ascii="Symbol" w:hAnsi="Symbol"/>
      </w:rPr>
    </w:lvl>
    <w:lvl w:ilvl="2" w:tplc="3EC6926A">
      <w:start w:val="1"/>
      <w:numFmt w:val="bullet"/>
      <w:lvlText w:val=""/>
      <w:lvlJc w:val="left"/>
      <w:pPr>
        <w:ind w:left="1440" w:hanging="360"/>
      </w:pPr>
      <w:rPr>
        <w:rFonts w:ascii="Symbol" w:hAnsi="Symbol"/>
      </w:rPr>
    </w:lvl>
    <w:lvl w:ilvl="3" w:tplc="4FD4D9EA">
      <w:start w:val="1"/>
      <w:numFmt w:val="bullet"/>
      <w:lvlText w:val=""/>
      <w:lvlJc w:val="left"/>
      <w:pPr>
        <w:ind w:left="1440" w:hanging="360"/>
      </w:pPr>
      <w:rPr>
        <w:rFonts w:ascii="Symbol" w:hAnsi="Symbol"/>
      </w:rPr>
    </w:lvl>
    <w:lvl w:ilvl="4" w:tplc="9DE26AF8">
      <w:start w:val="1"/>
      <w:numFmt w:val="bullet"/>
      <w:lvlText w:val=""/>
      <w:lvlJc w:val="left"/>
      <w:pPr>
        <w:ind w:left="1440" w:hanging="360"/>
      </w:pPr>
      <w:rPr>
        <w:rFonts w:ascii="Symbol" w:hAnsi="Symbol"/>
      </w:rPr>
    </w:lvl>
    <w:lvl w:ilvl="5" w:tplc="40929EAA">
      <w:start w:val="1"/>
      <w:numFmt w:val="bullet"/>
      <w:lvlText w:val=""/>
      <w:lvlJc w:val="left"/>
      <w:pPr>
        <w:ind w:left="1440" w:hanging="360"/>
      </w:pPr>
      <w:rPr>
        <w:rFonts w:ascii="Symbol" w:hAnsi="Symbol"/>
      </w:rPr>
    </w:lvl>
    <w:lvl w:ilvl="6" w:tplc="9104D156">
      <w:start w:val="1"/>
      <w:numFmt w:val="bullet"/>
      <w:lvlText w:val=""/>
      <w:lvlJc w:val="left"/>
      <w:pPr>
        <w:ind w:left="1440" w:hanging="360"/>
      </w:pPr>
      <w:rPr>
        <w:rFonts w:ascii="Symbol" w:hAnsi="Symbol"/>
      </w:rPr>
    </w:lvl>
    <w:lvl w:ilvl="7" w:tplc="78AE3110">
      <w:start w:val="1"/>
      <w:numFmt w:val="bullet"/>
      <w:lvlText w:val=""/>
      <w:lvlJc w:val="left"/>
      <w:pPr>
        <w:ind w:left="1440" w:hanging="360"/>
      </w:pPr>
      <w:rPr>
        <w:rFonts w:ascii="Symbol" w:hAnsi="Symbol"/>
      </w:rPr>
    </w:lvl>
    <w:lvl w:ilvl="8" w:tplc="B5CE2FEC">
      <w:start w:val="1"/>
      <w:numFmt w:val="bullet"/>
      <w:lvlText w:val=""/>
      <w:lvlJc w:val="left"/>
      <w:pPr>
        <w:ind w:left="1440" w:hanging="360"/>
      </w:pPr>
      <w:rPr>
        <w:rFonts w:ascii="Symbol" w:hAnsi="Symbol"/>
      </w:rPr>
    </w:lvl>
  </w:abstractNum>
  <w:abstractNum w:abstractNumId="8" w15:restartNumberingAfterBreak="0">
    <w:nsid w:val="1E670DBA"/>
    <w:multiLevelType w:val="hybridMultilevel"/>
    <w:tmpl w:val="AE7E953A"/>
    <w:lvl w:ilvl="0" w:tplc="299C91A2">
      <w:start w:val="20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2E1C55"/>
    <w:multiLevelType w:val="hybridMultilevel"/>
    <w:tmpl w:val="40124F88"/>
    <w:lvl w:ilvl="0" w:tplc="299C91A2">
      <w:start w:val="20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1B0359"/>
    <w:multiLevelType w:val="hybridMultilevel"/>
    <w:tmpl w:val="4D46F1C2"/>
    <w:lvl w:ilvl="0" w:tplc="202202E0">
      <w:start w:val="1"/>
      <w:numFmt w:val="bullet"/>
      <w:lvlText w:val=""/>
      <w:lvlJc w:val="left"/>
      <w:pPr>
        <w:ind w:left="720" w:hanging="360"/>
      </w:pPr>
      <w:rPr>
        <w:rFonts w:ascii="Symbol" w:hAnsi="Symbol"/>
      </w:rPr>
    </w:lvl>
    <w:lvl w:ilvl="1" w:tplc="A65469CA">
      <w:start w:val="1"/>
      <w:numFmt w:val="bullet"/>
      <w:lvlText w:val=""/>
      <w:lvlJc w:val="left"/>
      <w:pPr>
        <w:ind w:left="720" w:hanging="360"/>
      </w:pPr>
      <w:rPr>
        <w:rFonts w:ascii="Symbol" w:hAnsi="Symbol"/>
      </w:rPr>
    </w:lvl>
    <w:lvl w:ilvl="2" w:tplc="E85A720A">
      <w:start w:val="1"/>
      <w:numFmt w:val="bullet"/>
      <w:lvlText w:val=""/>
      <w:lvlJc w:val="left"/>
      <w:pPr>
        <w:ind w:left="720" w:hanging="360"/>
      </w:pPr>
      <w:rPr>
        <w:rFonts w:ascii="Symbol" w:hAnsi="Symbol"/>
      </w:rPr>
    </w:lvl>
    <w:lvl w:ilvl="3" w:tplc="593AA20C">
      <w:start w:val="1"/>
      <w:numFmt w:val="bullet"/>
      <w:lvlText w:val=""/>
      <w:lvlJc w:val="left"/>
      <w:pPr>
        <w:ind w:left="720" w:hanging="360"/>
      </w:pPr>
      <w:rPr>
        <w:rFonts w:ascii="Symbol" w:hAnsi="Symbol"/>
      </w:rPr>
    </w:lvl>
    <w:lvl w:ilvl="4" w:tplc="13D0966E">
      <w:start w:val="1"/>
      <w:numFmt w:val="bullet"/>
      <w:lvlText w:val=""/>
      <w:lvlJc w:val="left"/>
      <w:pPr>
        <w:ind w:left="720" w:hanging="360"/>
      </w:pPr>
      <w:rPr>
        <w:rFonts w:ascii="Symbol" w:hAnsi="Symbol"/>
      </w:rPr>
    </w:lvl>
    <w:lvl w:ilvl="5" w:tplc="77EAC08E">
      <w:start w:val="1"/>
      <w:numFmt w:val="bullet"/>
      <w:lvlText w:val=""/>
      <w:lvlJc w:val="left"/>
      <w:pPr>
        <w:ind w:left="720" w:hanging="360"/>
      </w:pPr>
      <w:rPr>
        <w:rFonts w:ascii="Symbol" w:hAnsi="Symbol"/>
      </w:rPr>
    </w:lvl>
    <w:lvl w:ilvl="6" w:tplc="C256D654">
      <w:start w:val="1"/>
      <w:numFmt w:val="bullet"/>
      <w:lvlText w:val=""/>
      <w:lvlJc w:val="left"/>
      <w:pPr>
        <w:ind w:left="720" w:hanging="360"/>
      </w:pPr>
      <w:rPr>
        <w:rFonts w:ascii="Symbol" w:hAnsi="Symbol"/>
      </w:rPr>
    </w:lvl>
    <w:lvl w:ilvl="7" w:tplc="0B9CDAFC">
      <w:start w:val="1"/>
      <w:numFmt w:val="bullet"/>
      <w:lvlText w:val=""/>
      <w:lvlJc w:val="left"/>
      <w:pPr>
        <w:ind w:left="720" w:hanging="360"/>
      </w:pPr>
      <w:rPr>
        <w:rFonts w:ascii="Symbol" w:hAnsi="Symbol"/>
      </w:rPr>
    </w:lvl>
    <w:lvl w:ilvl="8" w:tplc="83AE09BE">
      <w:start w:val="1"/>
      <w:numFmt w:val="bullet"/>
      <w:lvlText w:val=""/>
      <w:lvlJc w:val="left"/>
      <w:pPr>
        <w:ind w:left="720" w:hanging="360"/>
      </w:pPr>
      <w:rPr>
        <w:rFonts w:ascii="Symbol" w:hAnsi="Symbol"/>
      </w:rPr>
    </w:lvl>
  </w:abstractNum>
  <w:abstractNum w:abstractNumId="11" w15:restartNumberingAfterBreak="0">
    <w:nsid w:val="33EF1176"/>
    <w:multiLevelType w:val="multilevel"/>
    <w:tmpl w:val="19F63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65802AA"/>
    <w:multiLevelType w:val="multilevel"/>
    <w:tmpl w:val="C9460CA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C1C2EF1"/>
    <w:multiLevelType w:val="hybridMultilevel"/>
    <w:tmpl w:val="AA528126"/>
    <w:lvl w:ilvl="0" w:tplc="299C91A2">
      <w:start w:val="201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9838A4"/>
    <w:multiLevelType w:val="hybridMultilevel"/>
    <w:tmpl w:val="EF367150"/>
    <w:lvl w:ilvl="0" w:tplc="74066CB0">
      <w:start w:val="1"/>
      <w:numFmt w:val="decimal"/>
      <w:lvlText w:val="%1."/>
      <w:lvlJc w:val="left"/>
      <w:pPr>
        <w:ind w:left="720" w:hanging="360"/>
      </w:pPr>
      <w:rPr>
        <w:rFonts w:asciiTheme="minorHAnsi" w:eastAsia="Times New Roman" w:hAnsiTheme="minorHAnsi" w:cstheme="minorHAns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77DAB"/>
    <w:multiLevelType w:val="hybridMultilevel"/>
    <w:tmpl w:val="D5967EE2"/>
    <w:lvl w:ilvl="0" w:tplc="314C89A6">
      <w:start w:val="1"/>
      <w:numFmt w:val="bullet"/>
      <w:lvlText w:val=""/>
      <w:lvlJc w:val="left"/>
      <w:pPr>
        <w:ind w:left="1440" w:hanging="360"/>
      </w:pPr>
      <w:rPr>
        <w:rFonts w:ascii="Symbol" w:hAnsi="Symbol"/>
      </w:rPr>
    </w:lvl>
    <w:lvl w:ilvl="1" w:tplc="0FA808DE">
      <w:start w:val="1"/>
      <w:numFmt w:val="bullet"/>
      <w:lvlText w:val=""/>
      <w:lvlJc w:val="left"/>
      <w:pPr>
        <w:ind w:left="1440" w:hanging="360"/>
      </w:pPr>
      <w:rPr>
        <w:rFonts w:ascii="Symbol" w:hAnsi="Symbol"/>
      </w:rPr>
    </w:lvl>
    <w:lvl w:ilvl="2" w:tplc="B09A7D02">
      <w:start w:val="1"/>
      <w:numFmt w:val="bullet"/>
      <w:lvlText w:val=""/>
      <w:lvlJc w:val="left"/>
      <w:pPr>
        <w:ind w:left="1440" w:hanging="360"/>
      </w:pPr>
      <w:rPr>
        <w:rFonts w:ascii="Symbol" w:hAnsi="Symbol"/>
      </w:rPr>
    </w:lvl>
    <w:lvl w:ilvl="3" w:tplc="509037B0">
      <w:start w:val="1"/>
      <w:numFmt w:val="bullet"/>
      <w:lvlText w:val=""/>
      <w:lvlJc w:val="left"/>
      <w:pPr>
        <w:ind w:left="1440" w:hanging="360"/>
      </w:pPr>
      <w:rPr>
        <w:rFonts w:ascii="Symbol" w:hAnsi="Symbol"/>
      </w:rPr>
    </w:lvl>
    <w:lvl w:ilvl="4" w:tplc="E020C580">
      <w:start w:val="1"/>
      <w:numFmt w:val="bullet"/>
      <w:lvlText w:val=""/>
      <w:lvlJc w:val="left"/>
      <w:pPr>
        <w:ind w:left="1440" w:hanging="360"/>
      </w:pPr>
      <w:rPr>
        <w:rFonts w:ascii="Symbol" w:hAnsi="Symbol"/>
      </w:rPr>
    </w:lvl>
    <w:lvl w:ilvl="5" w:tplc="5E88DF5A">
      <w:start w:val="1"/>
      <w:numFmt w:val="bullet"/>
      <w:lvlText w:val=""/>
      <w:lvlJc w:val="left"/>
      <w:pPr>
        <w:ind w:left="1440" w:hanging="360"/>
      </w:pPr>
      <w:rPr>
        <w:rFonts w:ascii="Symbol" w:hAnsi="Symbol"/>
      </w:rPr>
    </w:lvl>
    <w:lvl w:ilvl="6" w:tplc="032870E8">
      <w:start w:val="1"/>
      <w:numFmt w:val="bullet"/>
      <w:lvlText w:val=""/>
      <w:lvlJc w:val="left"/>
      <w:pPr>
        <w:ind w:left="1440" w:hanging="360"/>
      </w:pPr>
      <w:rPr>
        <w:rFonts w:ascii="Symbol" w:hAnsi="Symbol"/>
      </w:rPr>
    </w:lvl>
    <w:lvl w:ilvl="7" w:tplc="E18AE626">
      <w:start w:val="1"/>
      <w:numFmt w:val="bullet"/>
      <w:lvlText w:val=""/>
      <w:lvlJc w:val="left"/>
      <w:pPr>
        <w:ind w:left="1440" w:hanging="360"/>
      </w:pPr>
      <w:rPr>
        <w:rFonts w:ascii="Symbol" w:hAnsi="Symbol"/>
      </w:rPr>
    </w:lvl>
    <w:lvl w:ilvl="8" w:tplc="E58EF936">
      <w:start w:val="1"/>
      <w:numFmt w:val="bullet"/>
      <w:lvlText w:val=""/>
      <w:lvlJc w:val="left"/>
      <w:pPr>
        <w:ind w:left="1440" w:hanging="360"/>
      </w:pPr>
      <w:rPr>
        <w:rFonts w:ascii="Symbol" w:hAnsi="Symbol"/>
      </w:rPr>
    </w:lvl>
  </w:abstractNum>
  <w:abstractNum w:abstractNumId="16" w15:restartNumberingAfterBreak="0">
    <w:nsid w:val="4A624C36"/>
    <w:multiLevelType w:val="hybridMultilevel"/>
    <w:tmpl w:val="F99C8634"/>
    <w:lvl w:ilvl="0" w:tplc="C0AC001C">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066993"/>
    <w:multiLevelType w:val="multilevel"/>
    <w:tmpl w:val="D12C3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FE53EC1"/>
    <w:multiLevelType w:val="hybridMultilevel"/>
    <w:tmpl w:val="7C4A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2712F6"/>
    <w:multiLevelType w:val="hybridMultilevel"/>
    <w:tmpl w:val="44A25950"/>
    <w:lvl w:ilvl="0" w:tplc="CC7AFC7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BE611A"/>
    <w:multiLevelType w:val="hybridMultilevel"/>
    <w:tmpl w:val="E1F88E4A"/>
    <w:lvl w:ilvl="0" w:tplc="99E2DACE">
      <w:numFmt w:val="bullet"/>
      <w:lvlText w:val="-"/>
      <w:lvlJc w:val="left"/>
      <w:pPr>
        <w:ind w:left="720" w:hanging="360"/>
      </w:pPr>
      <w:rPr>
        <w:rFonts w:ascii="Calibri" w:eastAsiaTheme="minorHAnsi" w:hAnsi="Calibri" w:cs="Calibri"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910C88"/>
    <w:multiLevelType w:val="hybridMultilevel"/>
    <w:tmpl w:val="CE147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1443BB"/>
    <w:multiLevelType w:val="hybridMultilevel"/>
    <w:tmpl w:val="87647A20"/>
    <w:lvl w:ilvl="0" w:tplc="93D83F7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546AB"/>
    <w:multiLevelType w:val="hybridMultilevel"/>
    <w:tmpl w:val="9DC4080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4" w15:restartNumberingAfterBreak="0">
    <w:nsid w:val="625F11AC"/>
    <w:multiLevelType w:val="hybridMultilevel"/>
    <w:tmpl w:val="A4E4483E"/>
    <w:lvl w:ilvl="0" w:tplc="007046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850CA9"/>
    <w:multiLevelType w:val="multilevel"/>
    <w:tmpl w:val="B3E00A8A"/>
    <w:lvl w:ilvl="0">
      <w:start w:val="6"/>
      <w:numFmt w:val="decimal"/>
      <w:lvlText w:val="%1"/>
      <w:lvlJc w:val="left"/>
      <w:pPr>
        <w:ind w:left="360" w:hanging="360"/>
      </w:pPr>
      <w:rPr>
        <w:rFonts w:ascii="Arial" w:eastAsia="Times New Roman" w:hAnsi="Arial" w:cs="Arial" w:hint="default"/>
        <w:color w:val="000000"/>
        <w:sz w:val="20"/>
      </w:rPr>
    </w:lvl>
    <w:lvl w:ilvl="1">
      <w:start w:val="5"/>
      <w:numFmt w:val="decimal"/>
      <w:lvlText w:val="%1.%2"/>
      <w:lvlJc w:val="left"/>
      <w:pPr>
        <w:ind w:left="360" w:hanging="360"/>
      </w:pPr>
      <w:rPr>
        <w:rFonts w:ascii="Arial" w:eastAsia="Times New Roman" w:hAnsi="Arial" w:cs="Arial" w:hint="default"/>
        <w:color w:val="000000"/>
        <w:sz w:val="20"/>
      </w:rPr>
    </w:lvl>
    <w:lvl w:ilvl="2">
      <w:start w:val="1"/>
      <w:numFmt w:val="decimal"/>
      <w:lvlText w:val="%1.%2.%3"/>
      <w:lvlJc w:val="left"/>
      <w:pPr>
        <w:ind w:left="720" w:hanging="720"/>
      </w:pPr>
      <w:rPr>
        <w:rFonts w:ascii="Arial" w:eastAsia="Times New Roman" w:hAnsi="Arial" w:cs="Arial" w:hint="default"/>
        <w:color w:val="000000"/>
        <w:sz w:val="20"/>
      </w:rPr>
    </w:lvl>
    <w:lvl w:ilvl="3">
      <w:start w:val="1"/>
      <w:numFmt w:val="decimal"/>
      <w:lvlText w:val="%1.%2.%3.%4"/>
      <w:lvlJc w:val="left"/>
      <w:pPr>
        <w:ind w:left="720" w:hanging="720"/>
      </w:pPr>
      <w:rPr>
        <w:rFonts w:ascii="Arial" w:eastAsia="Times New Roman" w:hAnsi="Arial" w:cs="Arial" w:hint="default"/>
        <w:color w:val="000000"/>
        <w:sz w:val="20"/>
      </w:rPr>
    </w:lvl>
    <w:lvl w:ilvl="4">
      <w:start w:val="1"/>
      <w:numFmt w:val="decimal"/>
      <w:lvlText w:val="%1.%2.%3.%4.%5"/>
      <w:lvlJc w:val="left"/>
      <w:pPr>
        <w:ind w:left="1080" w:hanging="1080"/>
      </w:pPr>
      <w:rPr>
        <w:rFonts w:ascii="Arial" w:eastAsia="Times New Roman" w:hAnsi="Arial" w:cs="Arial" w:hint="default"/>
        <w:color w:val="000000"/>
        <w:sz w:val="20"/>
      </w:rPr>
    </w:lvl>
    <w:lvl w:ilvl="5">
      <w:start w:val="1"/>
      <w:numFmt w:val="decimal"/>
      <w:lvlText w:val="%1.%2.%3.%4.%5.%6"/>
      <w:lvlJc w:val="left"/>
      <w:pPr>
        <w:ind w:left="1080" w:hanging="1080"/>
      </w:pPr>
      <w:rPr>
        <w:rFonts w:ascii="Arial" w:eastAsia="Times New Roman" w:hAnsi="Arial" w:cs="Arial" w:hint="default"/>
        <w:color w:val="000000"/>
        <w:sz w:val="20"/>
      </w:rPr>
    </w:lvl>
    <w:lvl w:ilvl="6">
      <w:start w:val="1"/>
      <w:numFmt w:val="decimal"/>
      <w:lvlText w:val="%1.%2.%3.%4.%5.%6.%7"/>
      <w:lvlJc w:val="left"/>
      <w:pPr>
        <w:ind w:left="1440" w:hanging="1440"/>
      </w:pPr>
      <w:rPr>
        <w:rFonts w:ascii="Arial" w:eastAsia="Times New Roman" w:hAnsi="Arial" w:cs="Arial" w:hint="default"/>
        <w:color w:val="000000"/>
        <w:sz w:val="20"/>
      </w:rPr>
    </w:lvl>
    <w:lvl w:ilvl="7">
      <w:start w:val="1"/>
      <w:numFmt w:val="decimal"/>
      <w:lvlText w:val="%1.%2.%3.%4.%5.%6.%7.%8"/>
      <w:lvlJc w:val="left"/>
      <w:pPr>
        <w:ind w:left="1440" w:hanging="1440"/>
      </w:pPr>
      <w:rPr>
        <w:rFonts w:ascii="Arial" w:eastAsia="Times New Roman" w:hAnsi="Arial" w:cs="Arial" w:hint="default"/>
        <w:color w:val="000000"/>
        <w:sz w:val="20"/>
      </w:rPr>
    </w:lvl>
    <w:lvl w:ilvl="8">
      <w:start w:val="1"/>
      <w:numFmt w:val="decimal"/>
      <w:lvlText w:val="%1.%2.%3.%4.%5.%6.%7.%8.%9"/>
      <w:lvlJc w:val="left"/>
      <w:pPr>
        <w:ind w:left="1440" w:hanging="1440"/>
      </w:pPr>
      <w:rPr>
        <w:rFonts w:ascii="Arial" w:eastAsia="Times New Roman" w:hAnsi="Arial" w:cs="Arial" w:hint="default"/>
        <w:color w:val="000000"/>
        <w:sz w:val="20"/>
      </w:rPr>
    </w:lvl>
  </w:abstractNum>
  <w:abstractNum w:abstractNumId="26" w15:restartNumberingAfterBreak="0">
    <w:nsid w:val="6E963C4B"/>
    <w:multiLevelType w:val="hybridMultilevel"/>
    <w:tmpl w:val="7CB80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CA0F6C"/>
    <w:multiLevelType w:val="multilevel"/>
    <w:tmpl w:val="A0322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7181BED"/>
    <w:multiLevelType w:val="multilevel"/>
    <w:tmpl w:val="4F4694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sz w:val="26"/>
      </w:rPr>
    </w:lvl>
    <w:lvl w:ilvl="2">
      <w:start w:val="1"/>
      <w:numFmt w:val="decimal"/>
      <w:isLgl/>
      <w:lvlText w:val="%1.%2.%3."/>
      <w:lvlJc w:val="left"/>
      <w:pPr>
        <w:ind w:left="1080" w:hanging="720"/>
      </w:pPr>
      <w:rPr>
        <w:rFonts w:hint="default"/>
        <w:b w:val="0"/>
        <w:sz w:val="26"/>
      </w:rPr>
    </w:lvl>
    <w:lvl w:ilvl="3">
      <w:start w:val="1"/>
      <w:numFmt w:val="decimal"/>
      <w:isLgl/>
      <w:lvlText w:val="%1.%2.%3.%4."/>
      <w:lvlJc w:val="left"/>
      <w:pPr>
        <w:ind w:left="1440" w:hanging="1080"/>
      </w:pPr>
      <w:rPr>
        <w:rFonts w:hint="default"/>
        <w:b w:val="0"/>
        <w:sz w:val="26"/>
      </w:rPr>
    </w:lvl>
    <w:lvl w:ilvl="4">
      <w:start w:val="1"/>
      <w:numFmt w:val="decimal"/>
      <w:isLgl/>
      <w:lvlText w:val="%1.%2.%3.%4.%5."/>
      <w:lvlJc w:val="left"/>
      <w:pPr>
        <w:ind w:left="1440" w:hanging="1080"/>
      </w:pPr>
      <w:rPr>
        <w:rFonts w:hint="default"/>
        <w:b w:val="0"/>
        <w:sz w:val="26"/>
      </w:rPr>
    </w:lvl>
    <w:lvl w:ilvl="5">
      <w:start w:val="1"/>
      <w:numFmt w:val="decimal"/>
      <w:isLgl/>
      <w:lvlText w:val="%1.%2.%3.%4.%5.%6."/>
      <w:lvlJc w:val="left"/>
      <w:pPr>
        <w:ind w:left="1800" w:hanging="1440"/>
      </w:pPr>
      <w:rPr>
        <w:rFonts w:hint="default"/>
        <w:b w:val="0"/>
        <w:sz w:val="26"/>
      </w:rPr>
    </w:lvl>
    <w:lvl w:ilvl="6">
      <w:start w:val="1"/>
      <w:numFmt w:val="decimal"/>
      <w:isLgl/>
      <w:lvlText w:val="%1.%2.%3.%4.%5.%6.%7."/>
      <w:lvlJc w:val="left"/>
      <w:pPr>
        <w:ind w:left="1800" w:hanging="1440"/>
      </w:pPr>
      <w:rPr>
        <w:rFonts w:hint="default"/>
        <w:b w:val="0"/>
        <w:sz w:val="26"/>
      </w:rPr>
    </w:lvl>
    <w:lvl w:ilvl="7">
      <w:start w:val="1"/>
      <w:numFmt w:val="decimal"/>
      <w:isLgl/>
      <w:lvlText w:val="%1.%2.%3.%4.%5.%6.%7.%8."/>
      <w:lvlJc w:val="left"/>
      <w:pPr>
        <w:ind w:left="2160" w:hanging="1800"/>
      </w:pPr>
      <w:rPr>
        <w:rFonts w:hint="default"/>
        <w:b w:val="0"/>
        <w:sz w:val="26"/>
      </w:rPr>
    </w:lvl>
    <w:lvl w:ilvl="8">
      <w:start w:val="1"/>
      <w:numFmt w:val="decimal"/>
      <w:isLgl/>
      <w:lvlText w:val="%1.%2.%3.%4.%5.%6.%7.%8.%9."/>
      <w:lvlJc w:val="left"/>
      <w:pPr>
        <w:ind w:left="2520" w:hanging="2160"/>
      </w:pPr>
      <w:rPr>
        <w:rFonts w:hint="default"/>
        <w:b w:val="0"/>
        <w:sz w:val="26"/>
      </w:rPr>
    </w:lvl>
  </w:abstractNum>
  <w:abstractNum w:abstractNumId="29" w15:restartNumberingAfterBreak="0">
    <w:nsid w:val="7721071A"/>
    <w:multiLevelType w:val="multilevel"/>
    <w:tmpl w:val="D776848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7C202111"/>
    <w:multiLevelType w:val="hybridMultilevel"/>
    <w:tmpl w:val="44FC0504"/>
    <w:lvl w:ilvl="0" w:tplc="299C91A2">
      <w:start w:val="201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9F66EC"/>
    <w:multiLevelType w:val="multilevel"/>
    <w:tmpl w:val="886AB2F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0"/>
  </w:num>
  <w:num w:numId="3">
    <w:abstractNumId w:val="29"/>
  </w:num>
  <w:num w:numId="4">
    <w:abstractNumId w:val="14"/>
  </w:num>
  <w:num w:numId="5">
    <w:abstractNumId w:val="5"/>
  </w:num>
  <w:num w:numId="6">
    <w:abstractNumId w:val="20"/>
  </w:num>
  <w:num w:numId="7">
    <w:abstractNumId w:val="22"/>
  </w:num>
  <w:num w:numId="8">
    <w:abstractNumId w:val="23"/>
  </w:num>
  <w:num w:numId="9">
    <w:abstractNumId w:val="31"/>
  </w:num>
  <w:num w:numId="10">
    <w:abstractNumId w:val="26"/>
  </w:num>
  <w:num w:numId="11">
    <w:abstractNumId w:val="18"/>
  </w:num>
  <w:num w:numId="12">
    <w:abstractNumId w:val="21"/>
  </w:num>
  <w:num w:numId="13">
    <w:abstractNumId w:val="17"/>
  </w:num>
  <w:num w:numId="14">
    <w:abstractNumId w:val="2"/>
  </w:num>
  <w:num w:numId="15">
    <w:abstractNumId w:val="6"/>
  </w:num>
  <w:num w:numId="16">
    <w:abstractNumId w:val="4"/>
  </w:num>
  <w:num w:numId="17">
    <w:abstractNumId w:val="11"/>
  </w:num>
  <w:num w:numId="18">
    <w:abstractNumId w:val="27"/>
  </w:num>
  <w:num w:numId="19">
    <w:abstractNumId w:val="13"/>
  </w:num>
  <w:num w:numId="20">
    <w:abstractNumId w:val="30"/>
  </w:num>
  <w:num w:numId="21">
    <w:abstractNumId w:val="9"/>
  </w:num>
  <w:num w:numId="22">
    <w:abstractNumId w:val="1"/>
  </w:num>
  <w:num w:numId="23">
    <w:abstractNumId w:val="19"/>
  </w:num>
  <w:num w:numId="24">
    <w:abstractNumId w:val="15"/>
  </w:num>
  <w:num w:numId="25">
    <w:abstractNumId w:val="10"/>
  </w:num>
  <w:num w:numId="26">
    <w:abstractNumId w:val="7"/>
  </w:num>
  <w:num w:numId="27">
    <w:abstractNumId w:val="24"/>
  </w:num>
  <w:num w:numId="28">
    <w:abstractNumId w:val="12"/>
  </w:num>
  <w:num w:numId="29">
    <w:abstractNumId w:val="8"/>
  </w:num>
  <w:num w:numId="30">
    <w:abstractNumId w:val="28"/>
  </w:num>
  <w:num w:numId="31">
    <w:abstractNumId w:val="3"/>
  </w:num>
  <w:num w:numId="32">
    <w:abstractNumId w:val="2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sa2dvxxwrf5z7et59bpfs5z9w5d95pfsdr2&quot;&gt;Nov21 endnote&lt;record-ids&gt;&lt;item&gt;2041&lt;/item&gt;&lt;item&gt;2043&lt;/item&gt;&lt;item&gt;2045&lt;/item&gt;&lt;/record-ids&gt;&lt;/item&gt;&lt;/Libraries&gt;"/>
  </w:docVars>
  <w:rsids>
    <w:rsidRoot w:val="0043216F"/>
    <w:rsid w:val="00000F0D"/>
    <w:rsid w:val="00001EC5"/>
    <w:rsid w:val="000020FA"/>
    <w:rsid w:val="00002CAA"/>
    <w:rsid w:val="00005558"/>
    <w:rsid w:val="000101DE"/>
    <w:rsid w:val="00013330"/>
    <w:rsid w:val="000135CC"/>
    <w:rsid w:val="00015588"/>
    <w:rsid w:val="00021A11"/>
    <w:rsid w:val="00022D1A"/>
    <w:rsid w:val="00023AF8"/>
    <w:rsid w:val="00031E56"/>
    <w:rsid w:val="00033A28"/>
    <w:rsid w:val="00033F42"/>
    <w:rsid w:val="000378D8"/>
    <w:rsid w:val="00043EC0"/>
    <w:rsid w:val="00044569"/>
    <w:rsid w:val="00044794"/>
    <w:rsid w:val="00044AF9"/>
    <w:rsid w:val="00045F76"/>
    <w:rsid w:val="0005110D"/>
    <w:rsid w:val="00055147"/>
    <w:rsid w:val="0005599B"/>
    <w:rsid w:val="00056EFE"/>
    <w:rsid w:val="000578A8"/>
    <w:rsid w:val="000640D4"/>
    <w:rsid w:val="00066418"/>
    <w:rsid w:val="000664E2"/>
    <w:rsid w:val="00066F95"/>
    <w:rsid w:val="00067333"/>
    <w:rsid w:val="00073F1F"/>
    <w:rsid w:val="0008018A"/>
    <w:rsid w:val="00082A69"/>
    <w:rsid w:val="00087AE3"/>
    <w:rsid w:val="000A198A"/>
    <w:rsid w:val="000B01E6"/>
    <w:rsid w:val="000B07F1"/>
    <w:rsid w:val="000B21F9"/>
    <w:rsid w:val="000B3C90"/>
    <w:rsid w:val="000B4079"/>
    <w:rsid w:val="000B4BC7"/>
    <w:rsid w:val="000B6A6C"/>
    <w:rsid w:val="000B76BF"/>
    <w:rsid w:val="000C0892"/>
    <w:rsid w:val="000C19F2"/>
    <w:rsid w:val="000C1FC8"/>
    <w:rsid w:val="000C271A"/>
    <w:rsid w:val="000C5E71"/>
    <w:rsid w:val="000C6CCB"/>
    <w:rsid w:val="000D08CB"/>
    <w:rsid w:val="000D1AA5"/>
    <w:rsid w:val="000D293E"/>
    <w:rsid w:val="000D3DA5"/>
    <w:rsid w:val="000D4F82"/>
    <w:rsid w:val="000D5967"/>
    <w:rsid w:val="000D5B8B"/>
    <w:rsid w:val="000D782E"/>
    <w:rsid w:val="000E368B"/>
    <w:rsid w:val="000E6385"/>
    <w:rsid w:val="000E7542"/>
    <w:rsid w:val="000E77BE"/>
    <w:rsid w:val="000E780F"/>
    <w:rsid w:val="000F2008"/>
    <w:rsid w:val="000F5A75"/>
    <w:rsid w:val="00102B61"/>
    <w:rsid w:val="001054E5"/>
    <w:rsid w:val="00105645"/>
    <w:rsid w:val="0011135A"/>
    <w:rsid w:val="0011614C"/>
    <w:rsid w:val="00116889"/>
    <w:rsid w:val="00117BDA"/>
    <w:rsid w:val="00124F66"/>
    <w:rsid w:val="00125A2F"/>
    <w:rsid w:val="00127B83"/>
    <w:rsid w:val="001322AC"/>
    <w:rsid w:val="001336DA"/>
    <w:rsid w:val="00135989"/>
    <w:rsid w:val="00135CAB"/>
    <w:rsid w:val="0013615E"/>
    <w:rsid w:val="00136CDF"/>
    <w:rsid w:val="00137ED0"/>
    <w:rsid w:val="0014212F"/>
    <w:rsid w:val="00142C41"/>
    <w:rsid w:val="00144A48"/>
    <w:rsid w:val="001453A4"/>
    <w:rsid w:val="00146359"/>
    <w:rsid w:val="00146714"/>
    <w:rsid w:val="001517A7"/>
    <w:rsid w:val="00152A69"/>
    <w:rsid w:val="00152B3D"/>
    <w:rsid w:val="0015373E"/>
    <w:rsid w:val="001559D3"/>
    <w:rsid w:val="00156063"/>
    <w:rsid w:val="001611CF"/>
    <w:rsid w:val="00163B5E"/>
    <w:rsid w:val="00164E29"/>
    <w:rsid w:val="0016505B"/>
    <w:rsid w:val="00165D89"/>
    <w:rsid w:val="00173036"/>
    <w:rsid w:val="0017384F"/>
    <w:rsid w:val="001761C6"/>
    <w:rsid w:val="001767FC"/>
    <w:rsid w:val="001810B7"/>
    <w:rsid w:val="00184EF0"/>
    <w:rsid w:val="00191ABB"/>
    <w:rsid w:val="00191D3D"/>
    <w:rsid w:val="00192F3F"/>
    <w:rsid w:val="001931B0"/>
    <w:rsid w:val="001949DF"/>
    <w:rsid w:val="00194BBF"/>
    <w:rsid w:val="00194EE9"/>
    <w:rsid w:val="00195066"/>
    <w:rsid w:val="001A0E2E"/>
    <w:rsid w:val="001A1489"/>
    <w:rsid w:val="001A2896"/>
    <w:rsid w:val="001A3A4C"/>
    <w:rsid w:val="001B0237"/>
    <w:rsid w:val="001B0C14"/>
    <w:rsid w:val="001B15FC"/>
    <w:rsid w:val="001B1803"/>
    <w:rsid w:val="001B4187"/>
    <w:rsid w:val="001B544C"/>
    <w:rsid w:val="001B5DAE"/>
    <w:rsid w:val="001B6CA7"/>
    <w:rsid w:val="001C050B"/>
    <w:rsid w:val="001C6140"/>
    <w:rsid w:val="001C7EF4"/>
    <w:rsid w:val="001D04BF"/>
    <w:rsid w:val="001D13C0"/>
    <w:rsid w:val="001D5A62"/>
    <w:rsid w:val="001D5E05"/>
    <w:rsid w:val="001E253A"/>
    <w:rsid w:val="001E389F"/>
    <w:rsid w:val="001E5B12"/>
    <w:rsid w:val="001E7DB7"/>
    <w:rsid w:val="001F072B"/>
    <w:rsid w:val="001F1793"/>
    <w:rsid w:val="001F3832"/>
    <w:rsid w:val="001F6EA0"/>
    <w:rsid w:val="00202004"/>
    <w:rsid w:val="00202905"/>
    <w:rsid w:val="00205CA0"/>
    <w:rsid w:val="002121A9"/>
    <w:rsid w:val="00215BDA"/>
    <w:rsid w:val="0022028C"/>
    <w:rsid w:val="0022243A"/>
    <w:rsid w:val="0022477E"/>
    <w:rsid w:val="002263C1"/>
    <w:rsid w:val="00231FB0"/>
    <w:rsid w:val="0023312D"/>
    <w:rsid w:val="0023612D"/>
    <w:rsid w:val="00240FDB"/>
    <w:rsid w:val="00241501"/>
    <w:rsid w:val="002420F7"/>
    <w:rsid w:val="00245B3E"/>
    <w:rsid w:val="00245F1B"/>
    <w:rsid w:val="00246A76"/>
    <w:rsid w:val="00251BC1"/>
    <w:rsid w:val="002545B7"/>
    <w:rsid w:val="0026035C"/>
    <w:rsid w:val="00264CC3"/>
    <w:rsid w:val="00265AF4"/>
    <w:rsid w:val="00267E61"/>
    <w:rsid w:val="00270EAB"/>
    <w:rsid w:val="00276F32"/>
    <w:rsid w:val="002770E1"/>
    <w:rsid w:val="0028032B"/>
    <w:rsid w:val="0028153C"/>
    <w:rsid w:val="00284723"/>
    <w:rsid w:val="00293E53"/>
    <w:rsid w:val="002A324B"/>
    <w:rsid w:val="002A4B28"/>
    <w:rsid w:val="002A74E2"/>
    <w:rsid w:val="002B0563"/>
    <w:rsid w:val="002B1679"/>
    <w:rsid w:val="002B21EB"/>
    <w:rsid w:val="002B34AA"/>
    <w:rsid w:val="002B6958"/>
    <w:rsid w:val="002B6F38"/>
    <w:rsid w:val="002C3D7D"/>
    <w:rsid w:val="002C4A89"/>
    <w:rsid w:val="002C4F4C"/>
    <w:rsid w:val="002C58D9"/>
    <w:rsid w:val="002D3D02"/>
    <w:rsid w:val="002E2C92"/>
    <w:rsid w:val="002E311E"/>
    <w:rsid w:val="002E3573"/>
    <w:rsid w:val="002E43CD"/>
    <w:rsid w:val="002E6A0F"/>
    <w:rsid w:val="002E6A44"/>
    <w:rsid w:val="002E6DF8"/>
    <w:rsid w:val="002F0540"/>
    <w:rsid w:val="002F242D"/>
    <w:rsid w:val="002F4B0C"/>
    <w:rsid w:val="002F5946"/>
    <w:rsid w:val="00300084"/>
    <w:rsid w:val="0030041F"/>
    <w:rsid w:val="003017C6"/>
    <w:rsid w:val="00302603"/>
    <w:rsid w:val="00310F1B"/>
    <w:rsid w:val="00313B0A"/>
    <w:rsid w:val="0031456A"/>
    <w:rsid w:val="00315090"/>
    <w:rsid w:val="00317E74"/>
    <w:rsid w:val="00320AE4"/>
    <w:rsid w:val="003258CB"/>
    <w:rsid w:val="00327C7F"/>
    <w:rsid w:val="00331A83"/>
    <w:rsid w:val="00331E0A"/>
    <w:rsid w:val="00332616"/>
    <w:rsid w:val="0033560C"/>
    <w:rsid w:val="00335FD6"/>
    <w:rsid w:val="00340EA8"/>
    <w:rsid w:val="00345883"/>
    <w:rsid w:val="00346A80"/>
    <w:rsid w:val="00346E07"/>
    <w:rsid w:val="00347154"/>
    <w:rsid w:val="00352913"/>
    <w:rsid w:val="0035410E"/>
    <w:rsid w:val="003611C0"/>
    <w:rsid w:val="00361E6E"/>
    <w:rsid w:val="00362F8C"/>
    <w:rsid w:val="0036448E"/>
    <w:rsid w:val="00365C41"/>
    <w:rsid w:val="00365F7E"/>
    <w:rsid w:val="00367769"/>
    <w:rsid w:val="00385F6A"/>
    <w:rsid w:val="003862F3"/>
    <w:rsid w:val="00386538"/>
    <w:rsid w:val="00386E6F"/>
    <w:rsid w:val="003912A8"/>
    <w:rsid w:val="00391AA0"/>
    <w:rsid w:val="00392EC1"/>
    <w:rsid w:val="0039300F"/>
    <w:rsid w:val="00393D0D"/>
    <w:rsid w:val="0039538B"/>
    <w:rsid w:val="0039670A"/>
    <w:rsid w:val="00397FB6"/>
    <w:rsid w:val="003A165A"/>
    <w:rsid w:val="003A22DB"/>
    <w:rsid w:val="003A2B67"/>
    <w:rsid w:val="003A483C"/>
    <w:rsid w:val="003A5706"/>
    <w:rsid w:val="003A57B3"/>
    <w:rsid w:val="003B0A3B"/>
    <w:rsid w:val="003B17E4"/>
    <w:rsid w:val="003B5550"/>
    <w:rsid w:val="003B5777"/>
    <w:rsid w:val="003C32A5"/>
    <w:rsid w:val="003C3924"/>
    <w:rsid w:val="003C6692"/>
    <w:rsid w:val="003C6CEE"/>
    <w:rsid w:val="003D281E"/>
    <w:rsid w:val="003D2D0F"/>
    <w:rsid w:val="003D654B"/>
    <w:rsid w:val="003F0E20"/>
    <w:rsid w:val="003F17A3"/>
    <w:rsid w:val="003F1988"/>
    <w:rsid w:val="003F2419"/>
    <w:rsid w:val="003F448D"/>
    <w:rsid w:val="003F6055"/>
    <w:rsid w:val="003F6AE4"/>
    <w:rsid w:val="0040176F"/>
    <w:rsid w:val="00401873"/>
    <w:rsid w:val="00401CE0"/>
    <w:rsid w:val="0040290B"/>
    <w:rsid w:val="0041190D"/>
    <w:rsid w:val="004156E7"/>
    <w:rsid w:val="00415858"/>
    <w:rsid w:val="0042076A"/>
    <w:rsid w:val="004224DE"/>
    <w:rsid w:val="004226BE"/>
    <w:rsid w:val="004253A9"/>
    <w:rsid w:val="00431B35"/>
    <w:rsid w:val="0043216F"/>
    <w:rsid w:val="00432BC9"/>
    <w:rsid w:val="004339AD"/>
    <w:rsid w:val="00434B9E"/>
    <w:rsid w:val="00434BBB"/>
    <w:rsid w:val="00435120"/>
    <w:rsid w:val="00435456"/>
    <w:rsid w:val="0043624F"/>
    <w:rsid w:val="00437F3F"/>
    <w:rsid w:val="0044157E"/>
    <w:rsid w:val="00442143"/>
    <w:rsid w:val="0044289B"/>
    <w:rsid w:val="00442D6C"/>
    <w:rsid w:val="00444EAA"/>
    <w:rsid w:val="004463EE"/>
    <w:rsid w:val="004508CB"/>
    <w:rsid w:val="004533D3"/>
    <w:rsid w:val="00455983"/>
    <w:rsid w:val="0045733D"/>
    <w:rsid w:val="00457730"/>
    <w:rsid w:val="004601EA"/>
    <w:rsid w:val="00462E10"/>
    <w:rsid w:val="004673CE"/>
    <w:rsid w:val="00470439"/>
    <w:rsid w:val="00470DB1"/>
    <w:rsid w:val="00471620"/>
    <w:rsid w:val="00473787"/>
    <w:rsid w:val="0047426D"/>
    <w:rsid w:val="00475921"/>
    <w:rsid w:val="00476C61"/>
    <w:rsid w:val="004811C6"/>
    <w:rsid w:val="0048227D"/>
    <w:rsid w:val="004840AF"/>
    <w:rsid w:val="00485ED2"/>
    <w:rsid w:val="00486574"/>
    <w:rsid w:val="0049018D"/>
    <w:rsid w:val="00491841"/>
    <w:rsid w:val="00492DF4"/>
    <w:rsid w:val="004947CB"/>
    <w:rsid w:val="004A5B7C"/>
    <w:rsid w:val="004A6876"/>
    <w:rsid w:val="004A6D8B"/>
    <w:rsid w:val="004B24E2"/>
    <w:rsid w:val="004B2C7C"/>
    <w:rsid w:val="004B5004"/>
    <w:rsid w:val="004B62F5"/>
    <w:rsid w:val="004B750F"/>
    <w:rsid w:val="004B798D"/>
    <w:rsid w:val="004B7C1B"/>
    <w:rsid w:val="004C0C86"/>
    <w:rsid w:val="004C1611"/>
    <w:rsid w:val="004C16B6"/>
    <w:rsid w:val="004C36C8"/>
    <w:rsid w:val="004C7436"/>
    <w:rsid w:val="004D107E"/>
    <w:rsid w:val="004D59E1"/>
    <w:rsid w:val="004D5C15"/>
    <w:rsid w:val="004E097D"/>
    <w:rsid w:val="004E5962"/>
    <w:rsid w:val="004E68B3"/>
    <w:rsid w:val="004E7451"/>
    <w:rsid w:val="004E746E"/>
    <w:rsid w:val="004F2848"/>
    <w:rsid w:val="004F4B0D"/>
    <w:rsid w:val="004F4E61"/>
    <w:rsid w:val="004F510D"/>
    <w:rsid w:val="004F5C9F"/>
    <w:rsid w:val="00500548"/>
    <w:rsid w:val="005008EC"/>
    <w:rsid w:val="00500D78"/>
    <w:rsid w:val="00500F29"/>
    <w:rsid w:val="00505CFC"/>
    <w:rsid w:val="00506445"/>
    <w:rsid w:val="00510965"/>
    <w:rsid w:val="00513EC2"/>
    <w:rsid w:val="0052275B"/>
    <w:rsid w:val="0052422E"/>
    <w:rsid w:val="005243A4"/>
    <w:rsid w:val="00524476"/>
    <w:rsid w:val="00524A62"/>
    <w:rsid w:val="00524C44"/>
    <w:rsid w:val="00527A73"/>
    <w:rsid w:val="00531055"/>
    <w:rsid w:val="005321EB"/>
    <w:rsid w:val="00533A44"/>
    <w:rsid w:val="00537769"/>
    <w:rsid w:val="005378C0"/>
    <w:rsid w:val="00537CF0"/>
    <w:rsid w:val="00540035"/>
    <w:rsid w:val="0054230E"/>
    <w:rsid w:val="00542750"/>
    <w:rsid w:val="0054319C"/>
    <w:rsid w:val="00546AC2"/>
    <w:rsid w:val="005541AA"/>
    <w:rsid w:val="0055691F"/>
    <w:rsid w:val="00556DBF"/>
    <w:rsid w:val="005574B8"/>
    <w:rsid w:val="005609F7"/>
    <w:rsid w:val="00561B46"/>
    <w:rsid w:val="0056313B"/>
    <w:rsid w:val="00565A42"/>
    <w:rsid w:val="005669CB"/>
    <w:rsid w:val="00567CBA"/>
    <w:rsid w:val="00572FDB"/>
    <w:rsid w:val="00574035"/>
    <w:rsid w:val="005767DB"/>
    <w:rsid w:val="00580CAB"/>
    <w:rsid w:val="005811C1"/>
    <w:rsid w:val="005817A0"/>
    <w:rsid w:val="00582312"/>
    <w:rsid w:val="0058702A"/>
    <w:rsid w:val="0059045A"/>
    <w:rsid w:val="00591BE7"/>
    <w:rsid w:val="00594150"/>
    <w:rsid w:val="00595653"/>
    <w:rsid w:val="00596E2D"/>
    <w:rsid w:val="005A02AB"/>
    <w:rsid w:val="005A108D"/>
    <w:rsid w:val="005A2756"/>
    <w:rsid w:val="005A2F8B"/>
    <w:rsid w:val="005A3ABB"/>
    <w:rsid w:val="005A4E6E"/>
    <w:rsid w:val="005A7352"/>
    <w:rsid w:val="005B2167"/>
    <w:rsid w:val="005B4B55"/>
    <w:rsid w:val="005B72E2"/>
    <w:rsid w:val="005C0653"/>
    <w:rsid w:val="005C136B"/>
    <w:rsid w:val="005C337C"/>
    <w:rsid w:val="005C363A"/>
    <w:rsid w:val="005C3ED9"/>
    <w:rsid w:val="005C419A"/>
    <w:rsid w:val="005C4B6D"/>
    <w:rsid w:val="005C5680"/>
    <w:rsid w:val="005C5BC5"/>
    <w:rsid w:val="005D032A"/>
    <w:rsid w:val="005D1193"/>
    <w:rsid w:val="005D1E97"/>
    <w:rsid w:val="005D312E"/>
    <w:rsid w:val="005D3757"/>
    <w:rsid w:val="005D5DE0"/>
    <w:rsid w:val="005D6481"/>
    <w:rsid w:val="005D7008"/>
    <w:rsid w:val="005E4998"/>
    <w:rsid w:val="005E64FC"/>
    <w:rsid w:val="005E67E1"/>
    <w:rsid w:val="005F0427"/>
    <w:rsid w:val="005F2AEA"/>
    <w:rsid w:val="005F4B25"/>
    <w:rsid w:val="005F6AE3"/>
    <w:rsid w:val="0060158A"/>
    <w:rsid w:val="00601988"/>
    <w:rsid w:val="00611782"/>
    <w:rsid w:val="00615A6E"/>
    <w:rsid w:val="00616E3D"/>
    <w:rsid w:val="00626A97"/>
    <w:rsid w:val="00637E40"/>
    <w:rsid w:val="00643BE4"/>
    <w:rsid w:val="00644824"/>
    <w:rsid w:val="00644E69"/>
    <w:rsid w:val="006454DA"/>
    <w:rsid w:val="00646719"/>
    <w:rsid w:val="00647B02"/>
    <w:rsid w:val="006505EB"/>
    <w:rsid w:val="00651DCC"/>
    <w:rsid w:val="00655875"/>
    <w:rsid w:val="00655FBA"/>
    <w:rsid w:val="006570BC"/>
    <w:rsid w:val="0066042F"/>
    <w:rsid w:val="006605C9"/>
    <w:rsid w:val="0066180A"/>
    <w:rsid w:val="0066315D"/>
    <w:rsid w:val="00664808"/>
    <w:rsid w:val="00665AB7"/>
    <w:rsid w:val="00667027"/>
    <w:rsid w:val="00670C61"/>
    <w:rsid w:val="006727B0"/>
    <w:rsid w:val="006735CD"/>
    <w:rsid w:val="00675125"/>
    <w:rsid w:val="00675B07"/>
    <w:rsid w:val="006762F7"/>
    <w:rsid w:val="006813A7"/>
    <w:rsid w:val="006830DE"/>
    <w:rsid w:val="00683668"/>
    <w:rsid w:val="0068384E"/>
    <w:rsid w:val="0068673B"/>
    <w:rsid w:val="00687FE5"/>
    <w:rsid w:val="006929C5"/>
    <w:rsid w:val="00692D34"/>
    <w:rsid w:val="006947F1"/>
    <w:rsid w:val="00694B0D"/>
    <w:rsid w:val="00694BA4"/>
    <w:rsid w:val="00695887"/>
    <w:rsid w:val="006A0238"/>
    <w:rsid w:val="006A1F2F"/>
    <w:rsid w:val="006A399E"/>
    <w:rsid w:val="006A5456"/>
    <w:rsid w:val="006A5ACC"/>
    <w:rsid w:val="006A5E0A"/>
    <w:rsid w:val="006A6962"/>
    <w:rsid w:val="006A7477"/>
    <w:rsid w:val="006B15B4"/>
    <w:rsid w:val="006B5E10"/>
    <w:rsid w:val="006B6956"/>
    <w:rsid w:val="006B79A8"/>
    <w:rsid w:val="006C15BB"/>
    <w:rsid w:val="006C1BF3"/>
    <w:rsid w:val="006C26F4"/>
    <w:rsid w:val="006C3236"/>
    <w:rsid w:val="006C4368"/>
    <w:rsid w:val="006C47A8"/>
    <w:rsid w:val="006D373A"/>
    <w:rsid w:val="006E06B1"/>
    <w:rsid w:val="006E53F6"/>
    <w:rsid w:val="006F0E70"/>
    <w:rsid w:val="006F1668"/>
    <w:rsid w:val="006F20C0"/>
    <w:rsid w:val="006F2CA9"/>
    <w:rsid w:val="00700C0A"/>
    <w:rsid w:val="00700D5D"/>
    <w:rsid w:val="00701DF7"/>
    <w:rsid w:val="00701E65"/>
    <w:rsid w:val="00702911"/>
    <w:rsid w:val="0070318A"/>
    <w:rsid w:val="00704545"/>
    <w:rsid w:val="0070629A"/>
    <w:rsid w:val="00707A09"/>
    <w:rsid w:val="00707C1F"/>
    <w:rsid w:val="00710EA7"/>
    <w:rsid w:val="0071266E"/>
    <w:rsid w:val="0071422D"/>
    <w:rsid w:val="00716B3E"/>
    <w:rsid w:val="007179A7"/>
    <w:rsid w:val="0072253B"/>
    <w:rsid w:val="00722DF6"/>
    <w:rsid w:val="00723794"/>
    <w:rsid w:val="00733D69"/>
    <w:rsid w:val="007371E8"/>
    <w:rsid w:val="00740B52"/>
    <w:rsid w:val="00744B7B"/>
    <w:rsid w:val="0074588A"/>
    <w:rsid w:val="00750553"/>
    <w:rsid w:val="00754DD2"/>
    <w:rsid w:val="0075518C"/>
    <w:rsid w:val="0075523F"/>
    <w:rsid w:val="00755AB5"/>
    <w:rsid w:val="007635BA"/>
    <w:rsid w:val="00764429"/>
    <w:rsid w:val="00767058"/>
    <w:rsid w:val="00767A13"/>
    <w:rsid w:val="00770F37"/>
    <w:rsid w:val="0077247D"/>
    <w:rsid w:val="0077358D"/>
    <w:rsid w:val="00784919"/>
    <w:rsid w:val="00786C02"/>
    <w:rsid w:val="00787773"/>
    <w:rsid w:val="00795BFB"/>
    <w:rsid w:val="007A5E97"/>
    <w:rsid w:val="007B2257"/>
    <w:rsid w:val="007B3270"/>
    <w:rsid w:val="007B3F82"/>
    <w:rsid w:val="007B461C"/>
    <w:rsid w:val="007B4E2E"/>
    <w:rsid w:val="007B7F46"/>
    <w:rsid w:val="007C4165"/>
    <w:rsid w:val="007C597C"/>
    <w:rsid w:val="007C5FE4"/>
    <w:rsid w:val="007D0C1D"/>
    <w:rsid w:val="007D22F3"/>
    <w:rsid w:val="007D447F"/>
    <w:rsid w:val="007D5B5E"/>
    <w:rsid w:val="007E4431"/>
    <w:rsid w:val="007E7E1A"/>
    <w:rsid w:val="007F1401"/>
    <w:rsid w:val="007F2A83"/>
    <w:rsid w:val="007F69E2"/>
    <w:rsid w:val="00800866"/>
    <w:rsid w:val="00802240"/>
    <w:rsid w:val="008027FE"/>
    <w:rsid w:val="00804D99"/>
    <w:rsid w:val="00805F34"/>
    <w:rsid w:val="0080659D"/>
    <w:rsid w:val="00806E9A"/>
    <w:rsid w:val="0081095C"/>
    <w:rsid w:val="00811FE8"/>
    <w:rsid w:val="008169A1"/>
    <w:rsid w:val="00822862"/>
    <w:rsid w:val="008246DD"/>
    <w:rsid w:val="0082584B"/>
    <w:rsid w:val="00826BA9"/>
    <w:rsid w:val="00826E9A"/>
    <w:rsid w:val="008279C8"/>
    <w:rsid w:val="00827BF8"/>
    <w:rsid w:val="00827F4B"/>
    <w:rsid w:val="00830DB4"/>
    <w:rsid w:val="00830DDA"/>
    <w:rsid w:val="0083419A"/>
    <w:rsid w:val="00834D83"/>
    <w:rsid w:val="00836661"/>
    <w:rsid w:val="00837768"/>
    <w:rsid w:val="008377DC"/>
    <w:rsid w:val="0084070E"/>
    <w:rsid w:val="00840EDC"/>
    <w:rsid w:val="0084223F"/>
    <w:rsid w:val="008427AA"/>
    <w:rsid w:val="00843C0D"/>
    <w:rsid w:val="00844A53"/>
    <w:rsid w:val="00846A5A"/>
    <w:rsid w:val="00847F27"/>
    <w:rsid w:val="00850DFB"/>
    <w:rsid w:val="008510F6"/>
    <w:rsid w:val="00851F9D"/>
    <w:rsid w:val="008527F1"/>
    <w:rsid w:val="00853C06"/>
    <w:rsid w:val="00855076"/>
    <w:rsid w:val="00856D35"/>
    <w:rsid w:val="00857F17"/>
    <w:rsid w:val="00861170"/>
    <w:rsid w:val="0086573F"/>
    <w:rsid w:val="00866CEA"/>
    <w:rsid w:val="0087035E"/>
    <w:rsid w:val="008709CA"/>
    <w:rsid w:val="00871278"/>
    <w:rsid w:val="00874E91"/>
    <w:rsid w:val="00876F2A"/>
    <w:rsid w:val="00876F81"/>
    <w:rsid w:val="00884E90"/>
    <w:rsid w:val="00885B49"/>
    <w:rsid w:val="00886AAC"/>
    <w:rsid w:val="00886D67"/>
    <w:rsid w:val="00891812"/>
    <w:rsid w:val="00894A49"/>
    <w:rsid w:val="00896C78"/>
    <w:rsid w:val="008A1FDE"/>
    <w:rsid w:val="008B0CAC"/>
    <w:rsid w:val="008B181B"/>
    <w:rsid w:val="008B290B"/>
    <w:rsid w:val="008B34C9"/>
    <w:rsid w:val="008B37AD"/>
    <w:rsid w:val="008C1252"/>
    <w:rsid w:val="008C2BD7"/>
    <w:rsid w:val="008C2F48"/>
    <w:rsid w:val="008C7105"/>
    <w:rsid w:val="008C7A95"/>
    <w:rsid w:val="008C7CBD"/>
    <w:rsid w:val="008D06E3"/>
    <w:rsid w:val="008D18DC"/>
    <w:rsid w:val="008D4356"/>
    <w:rsid w:val="008D496C"/>
    <w:rsid w:val="008D4C73"/>
    <w:rsid w:val="008E0AEB"/>
    <w:rsid w:val="008E0EBD"/>
    <w:rsid w:val="008E5345"/>
    <w:rsid w:val="008E63CF"/>
    <w:rsid w:val="008F25EE"/>
    <w:rsid w:val="008F5577"/>
    <w:rsid w:val="008F58B0"/>
    <w:rsid w:val="008F727A"/>
    <w:rsid w:val="0090344A"/>
    <w:rsid w:val="009049E9"/>
    <w:rsid w:val="009053A2"/>
    <w:rsid w:val="0090562B"/>
    <w:rsid w:val="00905F81"/>
    <w:rsid w:val="009105BC"/>
    <w:rsid w:val="00910EA2"/>
    <w:rsid w:val="00910F80"/>
    <w:rsid w:val="00912950"/>
    <w:rsid w:val="00913D84"/>
    <w:rsid w:val="00914C5E"/>
    <w:rsid w:val="00914FD3"/>
    <w:rsid w:val="00915C80"/>
    <w:rsid w:val="00921F8F"/>
    <w:rsid w:val="009271D9"/>
    <w:rsid w:val="00927A63"/>
    <w:rsid w:val="00930025"/>
    <w:rsid w:val="0093160F"/>
    <w:rsid w:val="009328BD"/>
    <w:rsid w:val="00933C92"/>
    <w:rsid w:val="00934097"/>
    <w:rsid w:val="00936A6C"/>
    <w:rsid w:val="0093780B"/>
    <w:rsid w:val="00940635"/>
    <w:rsid w:val="00945501"/>
    <w:rsid w:val="00945760"/>
    <w:rsid w:val="00947BF1"/>
    <w:rsid w:val="009540C7"/>
    <w:rsid w:val="00957C54"/>
    <w:rsid w:val="00964808"/>
    <w:rsid w:val="00964891"/>
    <w:rsid w:val="009728AC"/>
    <w:rsid w:val="00977ADE"/>
    <w:rsid w:val="0098562E"/>
    <w:rsid w:val="00986ACC"/>
    <w:rsid w:val="00987013"/>
    <w:rsid w:val="00987342"/>
    <w:rsid w:val="009906D8"/>
    <w:rsid w:val="00995BA1"/>
    <w:rsid w:val="009A08CB"/>
    <w:rsid w:val="009A0C60"/>
    <w:rsid w:val="009A3B86"/>
    <w:rsid w:val="009B47C3"/>
    <w:rsid w:val="009B49CF"/>
    <w:rsid w:val="009C0613"/>
    <w:rsid w:val="009C0ADC"/>
    <w:rsid w:val="009C4C92"/>
    <w:rsid w:val="009C5D68"/>
    <w:rsid w:val="009C5DF9"/>
    <w:rsid w:val="009C60DF"/>
    <w:rsid w:val="009C6B1D"/>
    <w:rsid w:val="009C799F"/>
    <w:rsid w:val="009D300A"/>
    <w:rsid w:val="009D3DE4"/>
    <w:rsid w:val="009D484E"/>
    <w:rsid w:val="009D7DE9"/>
    <w:rsid w:val="009E37B7"/>
    <w:rsid w:val="009E4724"/>
    <w:rsid w:val="009F0A98"/>
    <w:rsid w:val="009F14AB"/>
    <w:rsid w:val="009F1607"/>
    <w:rsid w:val="009F1FCA"/>
    <w:rsid w:val="009F4F6C"/>
    <w:rsid w:val="009F7956"/>
    <w:rsid w:val="00A00397"/>
    <w:rsid w:val="00A00AE6"/>
    <w:rsid w:val="00A00EBB"/>
    <w:rsid w:val="00A028A1"/>
    <w:rsid w:val="00A0430C"/>
    <w:rsid w:val="00A04BDB"/>
    <w:rsid w:val="00A06210"/>
    <w:rsid w:val="00A067F6"/>
    <w:rsid w:val="00A07CD5"/>
    <w:rsid w:val="00A1054B"/>
    <w:rsid w:val="00A138AA"/>
    <w:rsid w:val="00A16D4A"/>
    <w:rsid w:val="00A21A6A"/>
    <w:rsid w:val="00A221F6"/>
    <w:rsid w:val="00A2415F"/>
    <w:rsid w:val="00A27930"/>
    <w:rsid w:val="00A30258"/>
    <w:rsid w:val="00A30457"/>
    <w:rsid w:val="00A34301"/>
    <w:rsid w:val="00A35A69"/>
    <w:rsid w:val="00A36397"/>
    <w:rsid w:val="00A41A24"/>
    <w:rsid w:val="00A42508"/>
    <w:rsid w:val="00A43994"/>
    <w:rsid w:val="00A441F6"/>
    <w:rsid w:val="00A47B07"/>
    <w:rsid w:val="00A5002B"/>
    <w:rsid w:val="00A52E06"/>
    <w:rsid w:val="00A56B6C"/>
    <w:rsid w:val="00A57895"/>
    <w:rsid w:val="00A5796D"/>
    <w:rsid w:val="00A61BA5"/>
    <w:rsid w:val="00A62E5E"/>
    <w:rsid w:val="00A62F78"/>
    <w:rsid w:val="00A6653F"/>
    <w:rsid w:val="00A70C8B"/>
    <w:rsid w:val="00A737AC"/>
    <w:rsid w:val="00A74218"/>
    <w:rsid w:val="00A75373"/>
    <w:rsid w:val="00A76EA3"/>
    <w:rsid w:val="00A8062C"/>
    <w:rsid w:val="00A83708"/>
    <w:rsid w:val="00A84214"/>
    <w:rsid w:val="00A873F8"/>
    <w:rsid w:val="00A90A99"/>
    <w:rsid w:val="00A92AB1"/>
    <w:rsid w:val="00A94FA0"/>
    <w:rsid w:val="00A961AE"/>
    <w:rsid w:val="00AA44DD"/>
    <w:rsid w:val="00AA584C"/>
    <w:rsid w:val="00AA5DA6"/>
    <w:rsid w:val="00AB1C3B"/>
    <w:rsid w:val="00AB3325"/>
    <w:rsid w:val="00AB4348"/>
    <w:rsid w:val="00AB44C6"/>
    <w:rsid w:val="00AB480E"/>
    <w:rsid w:val="00AB71A7"/>
    <w:rsid w:val="00AC24B1"/>
    <w:rsid w:val="00AC2AB7"/>
    <w:rsid w:val="00AC375E"/>
    <w:rsid w:val="00AC437E"/>
    <w:rsid w:val="00AC7B47"/>
    <w:rsid w:val="00AD0729"/>
    <w:rsid w:val="00AD12D2"/>
    <w:rsid w:val="00AE07CF"/>
    <w:rsid w:val="00AE15E8"/>
    <w:rsid w:val="00AE31BE"/>
    <w:rsid w:val="00AE3867"/>
    <w:rsid w:val="00AE3956"/>
    <w:rsid w:val="00AE3A62"/>
    <w:rsid w:val="00AF1196"/>
    <w:rsid w:val="00AF1B95"/>
    <w:rsid w:val="00AF27CD"/>
    <w:rsid w:val="00AF2D5D"/>
    <w:rsid w:val="00AF3A19"/>
    <w:rsid w:val="00AF740C"/>
    <w:rsid w:val="00AF776F"/>
    <w:rsid w:val="00B0001B"/>
    <w:rsid w:val="00B01D3A"/>
    <w:rsid w:val="00B02686"/>
    <w:rsid w:val="00B03264"/>
    <w:rsid w:val="00B0352F"/>
    <w:rsid w:val="00B050FF"/>
    <w:rsid w:val="00B13ED5"/>
    <w:rsid w:val="00B1590B"/>
    <w:rsid w:val="00B242F7"/>
    <w:rsid w:val="00B26E50"/>
    <w:rsid w:val="00B30F9F"/>
    <w:rsid w:val="00B37225"/>
    <w:rsid w:val="00B43340"/>
    <w:rsid w:val="00B43DA9"/>
    <w:rsid w:val="00B4415B"/>
    <w:rsid w:val="00B45643"/>
    <w:rsid w:val="00B45B12"/>
    <w:rsid w:val="00B46AE8"/>
    <w:rsid w:val="00B515D5"/>
    <w:rsid w:val="00B51AAA"/>
    <w:rsid w:val="00B51EEA"/>
    <w:rsid w:val="00B52C77"/>
    <w:rsid w:val="00B54A39"/>
    <w:rsid w:val="00B55617"/>
    <w:rsid w:val="00B55846"/>
    <w:rsid w:val="00B57768"/>
    <w:rsid w:val="00B579E0"/>
    <w:rsid w:val="00B601AC"/>
    <w:rsid w:val="00B615CD"/>
    <w:rsid w:val="00B64441"/>
    <w:rsid w:val="00B65C00"/>
    <w:rsid w:val="00B66868"/>
    <w:rsid w:val="00B6689C"/>
    <w:rsid w:val="00B6775C"/>
    <w:rsid w:val="00B73317"/>
    <w:rsid w:val="00B80F2A"/>
    <w:rsid w:val="00B83A6B"/>
    <w:rsid w:val="00B8421C"/>
    <w:rsid w:val="00B843CE"/>
    <w:rsid w:val="00B85674"/>
    <w:rsid w:val="00B85C94"/>
    <w:rsid w:val="00B94DF8"/>
    <w:rsid w:val="00B95E3F"/>
    <w:rsid w:val="00B9617B"/>
    <w:rsid w:val="00BA1115"/>
    <w:rsid w:val="00BA5518"/>
    <w:rsid w:val="00BB02C6"/>
    <w:rsid w:val="00BB2550"/>
    <w:rsid w:val="00BB7C30"/>
    <w:rsid w:val="00BC1078"/>
    <w:rsid w:val="00BC32F5"/>
    <w:rsid w:val="00BC36F2"/>
    <w:rsid w:val="00BC3D63"/>
    <w:rsid w:val="00BC5800"/>
    <w:rsid w:val="00BC7978"/>
    <w:rsid w:val="00BD006D"/>
    <w:rsid w:val="00BD0F0E"/>
    <w:rsid w:val="00BD451A"/>
    <w:rsid w:val="00BD4F4D"/>
    <w:rsid w:val="00BD5719"/>
    <w:rsid w:val="00BD64C5"/>
    <w:rsid w:val="00BD6B4A"/>
    <w:rsid w:val="00BD7C08"/>
    <w:rsid w:val="00BE1D06"/>
    <w:rsid w:val="00BE4CBF"/>
    <w:rsid w:val="00BE5FF4"/>
    <w:rsid w:val="00BE693C"/>
    <w:rsid w:val="00BE6E9E"/>
    <w:rsid w:val="00BF00A3"/>
    <w:rsid w:val="00BF1F10"/>
    <w:rsid w:val="00BF2152"/>
    <w:rsid w:val="00C07C08"/>
    <w:rsid w:val="00C11751"/>
    <w:rsid w:val="00C212D1"/>
    <w:rsid w:val="00C21332"/>
    <w:rsid w:val="00C22F6D"/>
    <w:rsid w:val="00C235E6"/>
    <w:rsid w:val="00C23EED"/>
    <w:rsid w:val="00C25FF3"/>
    <w:rsid w:val="00C26BF0"/>
    <w:rsid w:val="00C272F2"/>
    <w:rsid w:val="00C33B20"/>
    <w:rsid w:val="00C42968"/>
    <w:rsid w:val="00C42EFE"/>
    <w:rsid w:val="00C46381"/>
    <w:rsid w:val="00C5055A"/>
    <w:rsid w:val="00C517F9"/>
    <w:rsid w:val="00C51D92"/>
    <w:rsid w:val="00C52A16"/>
    <w:rsid w:val="00C643DB"/>
    <w:rsid w:val="00C64816"/>
    <w:rsid w:val="00C64D3A"/>
    <w:rsid w:val="00C6768D"/>
    <w:rsid w:val="00C7095D"/>
    <w:rsid w:val="00C74C3B"/>
    <w:rsid w:val="00C762BF"/>
    <w:rsid w:val="00C94F04"/>
    <w:rsid w:val="00C96F5F"/>
    <w:rsid w:val="00C9772E"/>
    <w:rsid w:val="00C97D70"/>
    <w:rsid w:val="00CA2D25"/>
    <w:rsid w:val="00CB19F9"/>
    <w:rsid w:val="00CB2E81"/>
    <w:rsid w:val="00CB4231"/>
    <w:rsid w:val="00CB514D"/>
    <w:rsid w:val="00CB5216"/>
    <w:rsid w:val="00CB70EA"/>
    <w:rsid w:val="00CB7CD6"/>
    <w:rsid w:val="00CC16B9"/>
    <w:rsid w:val="00CC18F8"/>
    <w:rsid w:val="00CC7427"/>
    <w:rsid w:val="00CE1DB2"/>
    <w:rsid w:val="00CE32B2"/>
    <w:rsid w:val="00CE59F9"/>
    <w:rsid w:val="00CF09B0"/>
    <w:rsid w:val="00CF1266"/>
    <w:rsid w:val="00CF3A82"/>
    <w:rsid w:val="00CF55B9"/>
    <w:rsid w:val="00D010D6"/>
    <w:rsid w:val="00D01662"/>
    <w:rsid w:val="00D0252D"/>
    <w:rsid w:val="00D06ED7"/>
    <w:rsid w:val="00D07C28"/>
    <w:rsid w:val="00D134FB"/>
    <w:rsid w:val="00D1365F"/>
    <w:rsid w:val="00D14714"/>
    <w:rsid w:val="00D16254"/>
    <w:rsid w:val="00D16328"/>
    <w:rsid w:val="00D200D1"/>
    <w:rsid w:val="00D21604"/>
    <w:rsid w:val="00D21F2C"/>
    <w:rsid w:val="00D23BF2"/>
    <w:rsid w:val="00D246AB"/>
    <w:rsid w:val="00D2477E"/>
    <w:rsid w:val="00D25B33"/>
    <w:rsid w:val="00D2637B"/>
    <w:rsid w:val="00D27673"/>
    <w:rsid w:val="00D3255F"/>
    <w:rsid w:val="00D35367"/>
    <w:rsid w:val="00D35448"/>
    <w:rsid w:val="00D3740B"/>
    <w:rsid w:val="00D40509"/>
    <w:rsid w:val="00D40558"/>
    <w:rsid w:val="00D409BD"/>
    <w:rsid w:val="00D4262D"/>
    <w:rsid w:val="00D4576F"/>
    <w:rsid w:val="00D5400B"/>
    <w:rsid w:val="00D54BCC"/>
    <w:rsid w:val="00D6032E"/>
    <w:rsid w:val="00D617E9"/>
    <w:rsid w:val="00D61A07"/>
    <w:rsid w:val="00D6702A"/>
    <w:rsid w:val="00D702D3"/>
    <w:rsid w:val="00D704D5"/>
    <w:rsid w:val="00D70893"/>
    <w:rsid w:val="00D76DE7"/>
    <w:rsid w:val="00D773C9"/>
    <w:rsid w:val="00D8198E"/>
    <w:rsid w:val="00D839C6"/>
    <w:rsid w:val="00D8516E"/>
    <w:rsid w:val="00D9206B"/>
    <w:rsid w:val="00D95ADD"/>
    <w:rsid w:val="00D95D5A"/>
    <w:rsid w:val="00DA402B"/>
    <w:rsid w:val="00DB3F06"/>
    <w:rsid w:val="00DB439F"/>
    <w:rsid w:val="00DB4997"/>
    <w:rsid w:val="00DB5658"/>
    <w:rsid w:val="00DB5E9F"/>
    <w:rsid w:val="00DB60F1"/>
    <w:rsid w:val="00DB790D"/>
    <w:rsid w:val="00DB7C0D"/>
    <w:rsid w:val="00DC2144"/>
    <w:rsid w:val="00DC5F00"/>
    <w:rsid w:val="00DC6708"/>
    <w:rsid w:val="00DC6DC2"/>
    <w:rsid w:val="00DD2B6B"/>
    <w:rsid w:val="00DD4C8A"/>
    <w:rsid w:val="00DD62C6"/>
    <w:rsid w:val="00DD6EC2"/>
    <w:rsid w:val="00DE0A25"/>
    <w:rsid w:val="00DE0B98"/>
    <w:rsid w:val="00DE0D73"/>
    <w:rsid w:val="00DE28EE"/>
    <w:rsid w:val="00DE6AAC"/>
    <w:rsid w:val="00DF08F0"/>
    <w:rsid w:val="00DF3B91"/>
    <w:rsid w:val="00DF4BC9"/>
    <w:rsid w:val="00DF64D6"/>
    <w:rsid w:val="00E03667"/>
    <w:rsid w:val="00E036F3"/>
    <w:rsid w:val="00E04E58"/>
    <w:rsid w:val="00E052CB"/>
    <w:rsid w:val="00E079BA"/>
    <w:rsid w:val="00E07D8C"/>
    <w:rsid w:val="00E07F34"/>
    <w:rsid w:val="00E102BB"/>
    <w:rsid w:val="00E165EB"/>
    <w:rsid w:val="00E16EEE"/>
    <w:rsid w:val="00E2095A"/>
    <w:rsid w:val="00E26332"/>
    <w:rsid w:val="00E30628"/>
    <w:rsid w:val="00E30A9B"/>
    <w:rsid w:val="00E32A49"/>
    <w:rsid w:val="00E32D09"/>
    <w:rsid w:val="00E340D6"/>
    <w:rsid w:val="00E34D5F"/>
    <w:rsid w:val="00E35F3A"/>
    <w:rsid w:val="00E44DB0"/>
    <w:rsid w:val="00E46534"/>
    <w:rsid w:val="00E47E51"/>
    <w:rsid w:val="00E510F8"/>
    <w:rsid w:val="00E52A46"/>
    <w:rsid w:val="00E52EAB"/>
    <w:rsid w:val="00E5352E"/>
    <w:rsid w:val="00E53D4F"/>
    <w:rsid w:val="00E615C6"/>
    <w:rsid w:val="00E625E9"/>
    <w:rsid w:val="00E635DC"/>
    <w:rsid w:val="00E64897"/>
    <w:rsid w:val="00E67B50"/>
    <w:rsid w:val="00E72452"/>
    <w:rsid w:val="00E724E1"/>
    <w:rsid w:val="00E734F6"/>
    <w:rsid w:val="00E74AF7"/>
    <w:rsid w:val="00E77180"/>
    <w:rsid w:val="00E80234"/>
    <w:rsid w:val="00E92D37"/>
    <w:rsid w:val="00E94437"/>
    <w:rsid w:val="00E97B86"/>
    <w:rsid w:val="00EA0A67"/>
    <w:rsid w:val="00EA2CE1"/>
    <w:rsid w:val="00EA5B8C"/>
    <w:rsid w:val="00EB061B"/>
    <w:rsid w:val="00EB2E8F"/>
    <w:rsid w:val="00EB4052"/>
    <w:rsid w:val="00EB4DD7"/>
    <w:rsid w:val="00EB55DA"/>
    <w:rsid w:val="00EB58AB"/>
    <w:rsid w:val="00EB6DC4"/>
    <w:rsid w:val="00EB7A54"/>
    <w:rsid w:val="00EC033A"/>
    <w:rsid w:val="00EC25BB"/>
    <w:rsid w:val="00EC31E8"/>
    <w:rsid w:val="00EC6D3A"/>
    <w:rsid w:val="00ED05E2"/>
    <w:rsid w:val="00ED0F62"/>
    <w:rsid w:val="00ED1E92"/>
    <w:rsid w:val="00ED3C5C"/>
    <w:rsid w:val="00ED4169"/>
    <w:rsid w:val="00ED69C4"/>
    <w:rsid w:val="00EE084F"/>
    <w:rsid w:val="00EE2FD7"/>
    <w:rsid w:val="00EE3B08"/>
    <w:rsid w:val="00EE5AC0"/>
    <w:rsid w:val="00EF0B89"/>
    <w:rsid w:val="00EF17E3"/>
    <w:rsid w:val="00EF5D8A"/>
    <w:rsid w:val="00EF5F04"/>
    <w:rsid w:val="00EF60D7"/>
    <w:rsid w:val="00EF72FE"/>
    <w:rsid w:val="00F005FE"/>
    <w:rsid w:val="00F00BED"/>
    <w:rsid w:val="00F017DC"/>
    <w:rsid w:val="00F04DDA"/>
    <w:rsid w:val="00F10B48"/>
    <w:rsid w:val="00F12757"/>
    <w:rsid w:val="00F14144"/>
    <w:rsid w:val="00F1527F"/>
    <w:rsid w:val="00F16204"/>
    <w:rsid w:val="00F16BC1"/>
    <w:rsid w:val="00F24594"/>
    <w:rsid w:val="00F277C4"/>
    <w:rsid w:val="00F31B6F"/>
    <w:rsid w:val="00F31B8B"/>
    <w:rsid w:val="00F320E2"/>
    <w:rsid w:val="00F342B5"/>
    <w:rsid w:val="00F34827"/>
    <w:rsid w:val="00F366C2"/>
    <w:rsid w:val="00F37891"/>
    <w:rsid w:val="00F4374C"/>
    <w:rsid w:val="00F46527"/>
    <w:rsid w:val="00F46882"/>
    <w:rsid w:val="00F46D48"/>
    <w:rsid w:val="00F50137"/>
    <w:rsid w:val="00F5035A"/>
    <w:rsid w:val="00F53AD9"/>
    <w:rsid w:val="00F55A84"/>
    <w:rsid w:val="00F56D38"/>
    <w:rsid w:val="00F61FAB"/>
    <w:rsid w:val="00F6471C"/>
    <w:rsid w:val="00F654F7"/>
    <w:rsid w:val="00F66148"/>
    <w:rsid w:val="00F66217"/>
    <w:rsid w:val="00F67ADD"/>
    <w:rsid w:val="00F718A7"/>
    <w:rsid w:val="00F7341E"/>
    <w:rsid w:val="00F75DF3"/>
    <w:rsid w:val="00F80B92"/>
    <w:rsid w:val="00F81DAD"/>
    <w:rsid w:val="00F84193"/>
    <w:rsid w:val="00F844A1"/>
    <w:rsid w:val="00F85391"/>
    <w:rsid w:val="00F87E66"/>
    <w:rsid w:val="00F93415"/>
    <w:rsid w:val="00F93579"/>
    <w:rsid w:val="00F9711B"/>
    <w:rsid w:val="00F97C48"/>
    <w:rsid w:val="00FA0CD9"/>
    <w:rsid w:val="00FA2BE0"/>
    <w:rsid w:val="00FA4269"/>
    <w:rsid w:val="00FA60AC"/>
    <w:rsid w:val="00FA662B"/>
    <w:rsid w:val="00FA7075"/>
    <w:rsid w:val="00FB25AC"/>
    <w:rsid w:val="00FB2F45"/>
    <w:rsid w:val="00FB3443"/>
    <w:rsid w:val="00FB356D"/>
    <w:rsid w:val="00FB3D34"/>
    <w:rsid w:val="00FB466C"/>
    <w:rsid w:val="00FC6078"/>
    <w:rsid w:val="00FC66D7"/>
    <w:rsid w:val="00FD04AF"/>
    <w:rsid w:val="00FD1CBC"/>
    <w:rsid w:val="00FD6060"/>
    <w:rsid w:val="00FD7727"/>
    <w:rsid w:val="00FD77E6"/>
    <w:rsid w:val="00FE063F"/>
    <w:rsid w:val="00FE0646"/>
    <w:rsid w:val="00FE2B24"/>
    <w:rsid w:val="00FE2D02"/>
    <w:rsid w:val="00FE560C"/>
    <w:rsid w:val="00FF00B0"/>
    <w:rsid w:val="00FF08C1"/>
    <w:rsid w:val="00FF19F5"/>
    <w:rsid w:val="00FF2A5A"/>
    <w:rsid w:val="00FF57A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C6CD7A"/>
  <w15:docId w15:val="{F6679116-0F39-4CAC-A342-6A41F399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52E"/>
  </w:style>
  <w:style w:type="paragraph" w:styleId="Heading1">
    <w:name w:val="heading 1"/>
    <w:basedOn w:val="Normal"/>
    <w:next w:val="Normal"/>
    <w:link w:val="Heading1Char1"/>
    <w:uiPriority w:val="9"/>
    <w:qFormat/>
    <w:pPr>
      <w:keepNext/>
      <w:keepLines/>
      <w:spacing w:before="240" w:after="0"/>
      <w:outlineLvl w:val="0"/>
    </w:pPr>
    <w:rPr>
      <w:rFonts w:asciiTheme="majorHAnsi" w:eastAsiaTheme="majorEastAsia" w:hAnsiTheme="majorHAnsi" w:cstheme="majorBidi"/>
      <w:color w:val="387782" w:themeColor="accent1" w:themeShade="BF"/>
      <w:sz w:val="32"/>
      <w:szCs w:val="32"/>
    </w:rPr>
  </w:style>
  <w:style w:type="paragraph" w:styleId="Heading2">
    <w:name w:val="heading 2"/>
    <w:basedOn w:val="Normal"/>
    <w:next w:val="Normal"/>
    <w:link w:val="Heading2Char1"/>
    <w:uiPriority w:val="9"/>
    <w:unhideWhenUsed/>
    <w:qFormat/>
    <w:pPr>
      <w:keepNext/>
      <w:keepLines/>
      <w:spacing w:before="40" w:after="0"/>
      <w:outlineLvl w:val="1"/>
    </w:pPr>
    <w:rPr>
      <w:rFonts w:asciiTheme="majorHAnsi" w:eastAsiaTheme="majorEastAsia" w:hAnsiTheme="majorHAnsi" w:cstheme="majorBidi"/>
      <w:color w:val="387782" w:themeColor="accent1" w:themeShade="BF"/>
      <w:sz w:val="26"/>
      <w:szCs w:val="26"/>
    </w:rPr>
  </w:style>
  <w:style w:type="paragraph" w:styleId="Heading3">
    <w:name w:val="heading 3"/>
    <w:basedOn w:val="Normal"/>
    <w:next w:val="Normal"/>
    <w:link w:val="Heading3Char1"/>
    <w:uiPriority w:val="9"/>
    <w:unhideWhenUsed/>
    <w:qFormat/>
    <w:pPr>
      <w:keepNext/>
      <w:keepLines/>
      <w:spacing w:before="320" w:after="200"/>
      <w:outlineLvl w:val="2"/>
    </w:pPr>
    <w:rPr>
      <w:rFonts w:ascii="Arial" w:eastAsia="Arial" w:hAnsi="Arial" w:cs="Arial"/>
      <w:sz w:val="30"/>
      <w:szCs w:val="30"/>
    </w:rPr>
  </w:style>
  <w:style w:type="paragraph" w:styleId="Heading4">
    <w:name w:val="heading 4"/>
    <w:basedOn w:val="Normal"/>
    <w:next w:val="Normal"/>
    <w:link w:val="Heading4Char1"/>
    <w:uiPriority w:val="9"/>
    <w:unhideWhenUsed/>
    <w:qFormat/>
    <w:pPr>
      <w:keepNext/>
      <w:keepLines/>
      <w:spacing w:before="320" w:after="200"/>
      <w:outlineLvl w:val="3"/>
    </w:pPr>
    <w:rPr>
      <w:rFonts w:ascii="Arial" w:eastAsia="Arial" w:hAnsi="Arial" w:cs="Arial"/>
      <w:b/>
      <w:bCs/>
      <w:sz w:val="26"/>
      <w:szCs w:val="26"/>
    </w:rPr>
  </w:style>
  <w:style w:type="paragraph" w:styleId="Heading5">
    <w:name w:val="heading 5"/>
    <w:basedOn w:val="Normal"/>
    <w:next w:val="Normal"/>
    <w:link w:val="Heading5Char1"/>
    <w:uiPriority w:val="9"/>
    <w:unhideWhenUsed/>
    <w:qFormat/>
    <w:pPr>
      <w:keepNext/>
      <w:keepLines/>
      <w:spacing w:before="320" w:after="200"/>
      <w:outlineLvl w:val="4"/>
    </w:pPr>
    <w:rPr>
      <w:rFonts w:ascii="Arial" w:eastAsia="Arial" w:hAnsi="Arial" w:cs="Arial"/>
      <w:b/>
      <w:bCs/>
      <w:sz w:val="24"/>
      <w:szCs w:val="24"/>
    </w:rPr>
  </w:style>
  <w:style w:type="paragraph" w:styleId="Heading6">
    <w:name w:val="heading 6"/>
    <w:basedOn w:val="Normal"/>
    <w:next w:val="Normal"/>
    <w:link w:val="Heading6Char1"/>
    <w:uiPriority w:val="9"/>
    <w:unhideWhenUsed/>
    <w:qFormat/>
    <w:pPr>
      <w:keepNext/>
      <w:keepLines/>
      <w:spacing w:before="320" w:after="200"/>
      <w:outlineLvl w:val="5"/>
    </w:pPr>
    <w:rPr>
      <w:rFonts w:ascii="Arial" w:eastAsia="Arial" w:hAnsi="Arial" w:cs="Arial"/>
      <w:b/>
      <w:bCs/>
    </w:rPr>
  </w:style>
  <w:style w:type="paragraph" w:styleId="Heading7">
    <w:name w:val="heading 7"/>
    <w:basedOn w:val="Normal"/>
    <w:next w:val="Normal"/>
    <w:link w:val="Heading7Char1"/>
    <w:uiPriority w:val="9"/>
    <w:unhideWhenUsed/>
    <w:qFormat/>
    <w:pPr>
      <w:keepNext/>
      <w:keepLines/>
      <w:spacing w:before="320" w:after="200"/>
      <w:outlineLvl w:val="6"/>
    </w:pPr>
    <w:rPr>
      <w:rFonts w:ascii="Arial" w:eastAsia="Arial" w:hAnsi="Arial" w:cs="Arial"/>
      <w:b/>
      <w:bCs/>
      <w:i/>
      <w:iCs/>
    </w:rPr>
  </w:style>
  <w:style w:type="paragraph" w:styleId="Heading8">
    <w:name w:val="heading 8"/>
    <w:basedOn w:val="Normal"/>
    <w:next w:val="Normal"/>
    <w:link w:val="Heading8Char1"/>
    <w:uiPriority w:val="9"/>
    <w:unhideWhenUsed/>
    <w:qFormat/>
    <w:pPr>
      <w:keepNext/>
      <w:keepLines/>
      <w:spacing w:before="320" w:after="200"/>
      <w:outlineLvl w:val="7"/>
    </w:pPr>
    <w:rPr>
      <w:rFonts w:ascii="Arial" w:eastAsia="Arial" w:hAnsi="Arial" w:cs="Arial"/>
      <w:i/>
      <w:iCs/>
    </w:rPr>
  </w:style>
  <w:style w:type="paragraph" w:styleId="Heading9">
    <w:name w:val="heading 9"/>
    <w:basedOn w:val="Normal"/>
    <w:next w:val="Normal"/>
    <w:link w:val="Heading9Char1"/>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uiPriority w:val="9"/>
    <w:rPr>
      <w:rFonts w:ascii="Arial" w:eastAsia="Arial" w:hAnsi="Arial" w:cs="Arial"/>
      <w:color w:val="387782" w:themeColor="accent1" w:themeShade="BF"/>
      <w:sz w:val="28"/>
      <w:szCs w:val="28"/>
    </w:rPr>
  </w:style>
  <w:style w:type="character" w:customStyle="1" w:styleId="Heading4Char">
    <w:name w:val="Heading 4 Char"/>
    <w:basedOn w:val="DefaultParagraphFont"/>
    <w:uiPriority w:val="9"/>
    <w:rPr>
      <w:rFonts w:ascii="Arial" w:eastAsia="Arial" w:hAnsi="Arial" w:cs="Arial"/>
      <w:i/>
      <w:iCs/>
      <w:color w:val="387782" w:themeColor="accent1" w:themeShade="BF"/>
    </w:rPr>
  </w:style>
  <w:style w:type="character" w:customStyle="1" w:styleId="Heading5Char">
    <w:name w:val="Heading 5 Char"/>
    <w:basedOn w:val="DefaultParagraphFont"/>
    <w:uiPriority w:val="9"/>
    <w:rPr>
      <w:rFonts w:ascii="Arial" w:eastAsia="Arial" w:hAnsi="Arial" w:cs="Arial"/>
      <w:color w:val="387782" w:themeColor="accent1" w:themeShade="BF"/>
    </w:rPr>
  </w:style>
  <w:style w:type="character" w:customStyle="1" w:styleId="Heading6Char">
    <w:name w:val="Heading 6 Char"/>
    <w:basedOn w:val="DefaultParagraphFont"/>
    <w:uiPriority w:val="9"/>
    <w:rPr>
      <w:rFonts w:ascii="Arial" w:eastAsia="Arial" w:hAnsi="Arial" w:cs="Arial"/>
      <w:i/>
      <w:iCs/>
      <w:color w:val="595959" w:themeColor="text1" w:themeTint="A6"/>
    </w:rPr>
  </w:style>
  <w:style w:type="character" w:customStyle="1" w:styleId="Heading7Char">
    <w:name w:val="Heading 7 Char"/>
    <w:basedOn w:val="DefaultParagraphFont"/>
    <w:uiPriority w:val="9"/>
    <w:rPr>
      <w:rFonts w:ascii="Arial" w:eastAsia="Arial" w:hAnsi="Arial" w:cs="Arial"/>
      <w:color w:val="595959" w:themeColor="text1" w:themeTint="A6"/>
    </w:rPr>
  </w:style>
  <w:style w:type="character" w:customStyle="1" w:styleId="Heading8Char">
    <w:name w:val="Heading 8 Char"/>
    <w:basedOn w:val="DefaultParagraphFont"/>
    <w:uiPriority w:val="9"/>
    <w:rPr>
      <w:rFonts w:ascii="Arial" w:eastAsia="Arial" w:hAnsi="Arial" w:cs="Arial"/>
      <w:i/>
      <w:iCs/>
      <w:color w:val="272727" w:themeColor="text1" w:themeTint="D8"/>
    </w:rPr>
  </w:style>
  <w:style w:type="character" w:customStyle="1" w:styleId="Heading9Char">
    <w:name w:val="Heading 9 Char"/>
    <w:basedOn w:val="DefaultParagraphFont"/>
    <w:uiPriority w:val="9"/>
    <w:rPr>
      <w:rFonts w:ascii="Arial" w:eastAsia="Arial" w:hAnsi="Arial" w:cs="Arial"/>
      <w:i/>
      <w:iCs/>
      <w:color w:val="272727" w:themeColor="text1" w:themeTint="D8"/>
    </w:rPr>
  </w:style>
  <w:style w:type="character" w:customStyle="1" w:styleId="TitleChar">
    <w:name w:val="Title Char"/>
    <w:basedOn w:val="DefaultParagraphFont"/>
    <w:uiPriority w:val="10"/>
    <w:rPr>
      <w:rFonts w:ascii="Arial" w:eastAsia="Arial" w:hAnsi="Arial" w:cs="Arial"/>
      <w:spacing w:val="-10"/>
      <w:sz w:val="56"/>
      <w:szCs w:val="56"/>
    </w:rPr>
  </w:style>
  <w:style w:type="character" w:customStyle="1" w:styleId="SubtitleChar">
    <w:name w:val="Subtitle Char"/>
    <w:basedOn w:val="DefaultParagraphFont"/>
    <w:uiPriority w:val="11"/>
    <w:rPr>
      <w:color w:val="595959" w:themeColor="text1" w:themeTint="A6"/>
      <w:spacing w:val="15"/>
      <w:sz w:val="28"/>
      <w:szCs w:val="28"/>
    </w:rPr>
  </w:style>
  <w:style w:type="character" w:customStyle="1" w:styleId="QuoteChar">
    <w:name w:val="Quote Char"/>
    <w:basedOn w:val="DefaultParagraphFont"/>
    <w:uiPriority w:val="29"/>
    <w:rPr>
      <w:i/>
      <w:iCs/>
      <w:color w:val="404040" w:themeColor="text1" w:themeTint="BF"/>
    </w:rPr>
  </w:style>
  <w:style w:type="character" w:styleId="IntenseEmphasis">
    <w:name w:val="Intense Emphasis"/>
    <w:basedOn w:val="DefaultParagraphFont"/>
    <w:uiPriority w:val="21"/>
    <w:qFormat/>
    <w:rPr>
      <w:i/>
      <w:iCs/>
      <w:color w:val="387782" w:themeColor="accent1" w:themeShade="BF"/>
    </w:rPr>
  </w:style>
  <w:style w:type="character" w:customStyle="1" w:styleId="IntenseQuoteChar">
    <w:name w:val="Intense Quote Char"/>
    <w:basedOn w:val="DefaultParagraphFont"/>
    <w:uiPriority w:val="30"/>
    <w:rPr>
      <w:i/>
      <w:iCs/>
      <w:color w:val="387782" w:themeColor="accent1" w:themeShade="BF"/>
    </w:rPr>
  </w:style>
  <w:style w:type="character" w:styleId="IntenseReference">
    <w:name w:val="Intense Reference"/>
    <w:basedOn w:val="DefaultParagraphFont"/>
    <w:uiPriority w:val="32"/>
    <w:qFormat/>
    <w:rPr>
      <w:b/>
      <w:bCs/>
      <w:smallCaps/>
      <w:color w:val="387782" w:themeColor="accent1" w:themeShade="BF"/>
      <w:spacing w:val="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character" w:customStyle="1" w:styleId="FootnoteTextChar">
    <w:name w:val="Footnote Text Char"/>
    <w:basedOn w:val="DefaultParagraphFont"/>
    <w:uiPriority w:val="99"/>
    <w:semiHidden/>
    <w:rPr>
      <w:sz w:val="20"/>
      <w:szCs w:val="20"/>
    </w:rPr>
  </w:style>
  <w:style w:type="character" w:customStyle="1" w:styleId="EndnoteTextChar">
    <w:name w:val="Endnote Text Char"/>
    <w:basedOn w:val="DefaultParagraphFont"/>
    <w:uiPriority w:val="99"/>
    <w:semiHidden/>
    <w:rPr>
      <w:sz w:val="20"/>
      <w:szCs w:val="20"/>
    </w:rPr>
  </w:style>
  <w:style w:type="character" w:styleId="FollowedHyperlink">
    <w:name w:val="FollowedHyperlink"/>
    <w:basedOn w:val="DefaultParagraphFont"/>
    <w:uiPriority w:val="99"/>
    <w:semiHidden/>
    <w:unhideWhenUsed/>
    <w:rPr>
      <w:color w:val="000000" w:themeColor="followedHyperlink"/>
      <w:u w:val="single"/>
    </w:rPr>
  </w:style>
  <w:style w:type="character" w:customStyle="1" w:styleId="Heading1Char">
    <w:name w:val="Heading 1 Char"/>
    <w:basedOn w:val="DefaultParagraphFont"/>
    <w:uiPriority w:val="9"/>
    <w:rPr>
      <w:rFonts w:ascii="Arial" w:eastAsia="Arial" w:hAnsi="Arial" w:cs="Arial"/>
      <w:sz w:val="40"/>
      <w:szCs w:val="40"/>
    </w:rPr>
  </w:style>
  <w:style w:type="character" w:customStyle="1" w:styleId="Heading2Char">
    <w:name w:val="Heading 2 Char"/>
    <w:basedOn w:val="DefaultParagraphFont"/>
    <w:uiPriority w:val="9"/>
    <w:rPr>
      <w:rFonts w:ascii="Arial" w:eastAsia="Arial" w:hAnsi="Arial" w:cs="Arial"/>
      <w:sz w:val="34"/>
    </w:rPr>
  </w:style>
  <w:style w:type="character" w:customStyle="1" w:styleId="Heading3Char1">
    <w:name w:val="Heading 3 Char1"/>
    <w:basedOn w:val="DefaultParagraphFont"/>
    <w:link w:val="Heading3"/>
    <w:uiPriority w:val="9"/>
    <w:rPr>
      <w:rFonts w:ascii="Arial" w:eastAsia="Arial" w:hAnsi="Arial" w:cs="Arial"/>
      <w:sz w:val="30"/>
      <w:szCs w:val="30"/>
    </w:rPr>
  </w:style>
  <w:style w:type="character" w:customStyle="1" w:styleId="Heading4Char1">
    <w:name w:val="Heading 4 Char1"/>
    <w:basedOn w:val="DefaultParagraphFont"/>
    <w:link w:val="Heading4"/>
    <w:uiPriority w:val="9"/>
    <w:rPr>
      <w:rFonts w:ascii="Arial" w:eastAsia="Arial" w:hAnsi="Arial" w:cs="Arial"/>
      <w:b/>
      <w:bCs/>
      <w:sz w:val="26"/>
      <w:szCs w:val="26"/>
    </w:rPr>
  </w:style>
  <w:style w:type="character" w:customStyle="1" w:styleId="Heading5Char1">
    <w:name w:val="Heading 5 Char1"/>
    <w:basedOn w:val="DefaultParagraphFont"/>
    <w:link w:val="Heading5"/>
    <w:uiPriority w:val="9"/>
    <w:rPr>
      <w:rFonts w:ascii="Arial" w:eastAsia="Arial" w:hAnsi="Arial" w:cs="Arial"/>
      <w:b/>
      <w:bCs/>
      <w:sz w:val="24"/>
      <w:szCs w:val="24"/>
    </w:rPr>
  </w:style>
  <w:style w:type="character" w:customStyle="1" w:styleId="Heading6Char1">
    <w:name w:val="Heading 6 Char1"/>
    <w:basedOn w:val="DefaultParagraphFont"/>
    <w:link w:val="Heading6"/>
    <w:uiPriority w:val="9"/>
    <w:rPr>
      <w:rFonts w:ascii="Arial" w:eastAsia="Arial" w:hAnsi="Arial" w:cs="Arial"/>
      <w:b/>
      <w:bCs/>
      <w:sz w:val="22"/>
      <w:szCs w:val="22"/>
    </w:rPr>
  </w:style>
  <w:style w:type="character" w:customStyle="1" w:styleId="Heading7Char1">
    <w:name w:val="Heading 7 Char1"/>
    <w:basedOn w:val="DefaultParagraphFont"/>
    <w:link w:val="Heading7"/>
    <w:uiPriority w:val="9"/>
    <w:rPr>
      <w:rFonts w:ascii="Arial" w:eastAsia="Arial" w:hAnsi="Arial" w:cs="Arial"/>
      <w:b/>
      <w:bCs/>
      <w:i/>
      <w:iCs/>
      <w:sz w:val="22"/>
      <w:szCs w:val="22"/>
    </w:rPr>
  </w:style>
  <w:style w:type="character" w:customStyle="1" w:styleId="Heading8Char1">
    <w:name w:val="Heading 8 Char1"/>
    <w:basedOn w:val="DefaultParagraphFont"/>
    <w:link w:val="Heading8"/>
    <w:uiPriority w:val="9"/>
    <w:rPr>
      <w:rFonts w:ascii="Arial" w:eastAsia="Arial" w:hAnsi="Arial" w:cs="Arial"/>
      <w:i/>
      <w:iCs/>
      <w:sz w:val="22"/>
      <w:szCs w:val="22"/>
    </w:rPr>
  </w:style>
  <w:style w:type="character" w:customStyle="1" w:styleId="Heading9Char1">
    <w:name w:val="Heading 9 Char1"/>
    <w:basedOn w:val="DefaultParagraphFont"/>
    <w:link w:val="Heading9"/>
    <w:uiPriority w:val="9"/>
    <w:rPr>
      <w:rFonts w:ascii="Arial" w:eastAsia="Arial" w:hAnsi="Arial" w:cs="Arial"/>
      <w:i/>
      <w:iCs/>
      <w:sz w:val="21"/>
      <w:szCs w:val="21"/>
    </w:rPr>
  </w:style>
  <w:style w:type="paragraph" w:styleId="Title">
    <w:name w:val="Title"/>
    <w:basedOn w:val="Normal"/>
    <w:next w:val="Normal"/>
    <w:link w:val="TitleChar1"/>
    <w:uiPriority w:val="10"/>
    <w:qFormat/>
    <w:pPr>
      <w:spacing w:before="300" w:after="200"/>
      <w:contextualSpacing/>
    </w:pPr>
    <w:rPr>
      <w:sz w:val="48"/>
      <w:szCs w:val="48"/>
    </w:rPr>
  </w:style>
  <w:style w:type="character" w:customStyle="1" w:styleId="TitleChar1">
    <w:name w:val="Title Char1"/>
    <w:basedOn w:val="DefaultParagraphFont"/>
    <w:link w:val="Title"/>
    <w:uiPriority w:val="10"/>
    <w:rPr>
      <w:sz w:val="48"/>
      <w:szCs w:val="48"/>
    </w:rPr>
  </w:style>
  <w:style w:type="paragraph" w:styleId="Subtitle">
    <w:name w:val="Subtitle"/>
    <w:basedOn w:val="Normal"/>
    <w:next w:val="Normal"/>
    <w:link w:val="SubtitleChar1"/>
    <w:uiPriority w:val="11"/>
    <w:qFormat/>
    <w:pPr>
      <w:spacing w:before="200" w:after="200"/>
    </w:pPr>
    <w:rPr>
      <w:sz w:val="24"/>
      <w:szCs w:val="24"/>
    </w:rPr>
  </w:style>
  <w:style w:type="character" w:customStyle="1" w:styleId="SubtitleChar1">
    <w:name w:val="Subtitle Char1"/>
    <w:basedOn w:val="DefaultParagraphFont"/>
    <w:link w:val="Subtitle"/>
    <w:uiPriority w:val="11"/>
    <w:rPr>
      <w:sz w:val="24"/>
      <w:szCs w:val="24"/>
    </w:rPr>
  </w:style>
  <w:style w:type="paragraph" w:styleId="Quote">
    <w:name w:val="Quote"/>
    <w:basedOn w:val="Normal"/>
    <w:next w:val="Normal"/>
    <w:link w:val="QuoteChar1"/>
    <w:uiPriority w:val="29"/>
    <w:qFormat/>
    <w:pPr>
      <w:ind w:left="720" w:right="720"/>
    </w:pPr>
    <w:rPr>
      <w:i/>
    </w:rPr>
  </w:style>
  <w:style w:type="character" w:customStyle="1" w:styleId="QuoteChar1">
    <w:name w:val="Quote Char1"/>
    <w:link w:val="Quote"/>
    <w:uiPriority w:val="29"/>
    <w:rPr>
      <w:i/>
    </w:rPr>
  </w:style>
  <w:style w:type="paragraph" w:styleId="IntenseQuote">
    <w:name w:val="Intense Quote"/>
    <w:basedOn w:val="Normal"/>
    <w:next w:val="Normal"/>
    <w:link w:val="IntenseQuoteChar1"/>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1">
    <w:name w:val="Intense Quote Char1"/>
    <w:link w:val="IntenseQuote"/>
    <w:uiPriority w:val="30"/>
    <w:rPr>
      <w:i/>
    </w:rPr>
  </w:style>
  <w:style w:type="character" w:customStyle="1" w:styleId="HeaderChar">
    <w:name w:val="Header Char"/>
    <w:basedOn w:val="DefaultParagraphFont"/>
    <w:uiPriority w:val="99"/>
  </w:style>
  <w:style w:type="character" w:customStyle="1" w:styleId="FooterChar">
    <w:name w:val="Footer Char"/>
    <w:basedOn w:val="DefaultParagraphFont"/>
    <w:uiPriority w:val="99"/>
  </w:style>
  <w:style w:type="paragraph" w:styleId="Caption">
    <w:name w:val="caption"/>
    <w:basedOn w:val="Normal"/>
    <w:next w:val="Normal"/>
    <w:uiPriority w:val="35"/>
    <w:unhideWhenUsed/>
    <w:qFormat/>
    <w:pPr>
      <w:spacing w:line="276" w:lineRule="auto"/>
    </w:pPr>
    <w:rPr>
      <w:b/>
      <w:bCs/>
      <w:color w:val="4BA0AF" w:themeColor="accent1"/>
      <w:sz w:val="18"/>
      <w:szCs w:val="18"/>
    </w:rPr>
  </w:style>
  <w:style w:type="character" w:customStyle="1" w:styleId="CaptionChar">
    <w:name w:val="Caption Char"/>
    <w:uiPriority w:val="99"/>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lainTable2">
    <w:name w:val="Plain Table 2"/>
    <w:basedOn w:val="Table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4">
    <w:name w:val="Plain Table 4"/>
    <w:basedOn w:val="Table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lainTable5">
    <w:name w:val="Plain Table 5"/>
    <w:basedOn w:val="Table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ridTable1Light">
    <w:name w:val="Grid Table 1 Light"/>
    <w:basedOn w:val="Table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pPr>
      <w:spacing w:after="0" w:line="240" w:lineRule="auto"/>
    </w:pPr>
    <w:tblPr>
      <w:tblStyleRowBandSize w:val="1"/>
      <w:tblStyleColBandSize w:val="1"/>
      <w:tblBorders>
        <w:top w:val="single" w:sz="4" w:space="0" w:color="B5D9DF" w:themeColor="accent1" w:themeTint="67"/>
        <w:left w:val="single" w:sz="4" w:space="0" w:color="B5D9DF" w:themeColor="accent1" w:themeTint="67"/>
        <w:bottom w:val="single" w:sz="4" w:space="0" w:color="B5D9DF" w:themeColor="accent1" w:themeTint="67"/>
        <w:right w:val="single" w:sz="4" w:space="0" w:color="B5D9DF" w:themeColor="accent1" w:themeTint="67"/>
        <w:insideH w:val="single" w:sz="4" w:space="0" w:color="B5D9DF" w:themeColor="accent1" w:themeTint="67"/>
        <w:insideV w:val="single" w:sz="4" w:space="0" w:color="B5D9DF" w:themeColor="accent1" w:themeTint="67"/>
      </w:tblBorders>
    </w:tblPr>
    <w:tblStylePr w:type="firstRow">
      <w:rPr>
        <w:b/>
        <w:color w:val="404040"/>
      </w:rPr>
      <w:tblPr/>
      <w:tcPr>
        <w:tcBorders>
          <w:bottom w:val="single" w:sz="12" w:space="0" w:color="94C8D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5D9DF" w:themeColor="accent1" w:themeTint="67"/>
          <w:left w:val="single" w:sz="4" w:space="0" w:color="B5D9DF" w:themeColor="accent1" w:themeTint="67"/>
          <w:bottom w:val="single" w:sz="4" w:space="0" w:color="B5D9DF" w:themeColor="accent1" w:themeTint="67"/>
          <w:right w:val="single" w:sz="4" w:space="0" w:color="B5D9DF" w:themeColor="accent1" w:themeTint="67"/>
        </w:tcBorders>
      </w:tcPr>
    </w:tblStylePr>
  </w:style>
  <w:style w:type="table" w:customStyle="1" w:styleId="GridTable1Light-Accent21">
    <w:name w:val="Grid Table 1 Light - Accent 21"/>
    <w:basedOn w:val="TableNormal"/>
    <w:uiPriority w:val="99"/>
    <w:pPr>
      <w:spacing w:after="0" w:line="240" w:lineRule="auto"/>
    </w:pPr>
    <w:tblPr>
      <w:tblStyleRowBandSize w:val="1"/>
      <w:tblStyleColBandSize w:val="1"/>
      <w:tblBorders>
        <w:top w:val="single" w:sz="4" w:space="0" w:color="FF87C4" w:themeColor="accent2" w:themeTint="67"/>
        <w:left w:val="single" w:sz="4" w:space="0" w:color="FF87C4" w:themeColor="accent2" w:themeTint="67"/>
        <w:bottom w:val="single" w:sz="4" w:space="0" w:color="FF87C4" w:themeColor="accent2" w:themeTint="67"/>
        <w:right w:val="single" w:sz="4" w:space="0" w:color="FF87C4" w:themeColor="accent2" w:themeTint="67"/>
        <w:insideH w:val="single" w:sz="4" w:space="0" w:color="FF87C4" w:themeColor="accent2" w:themeTint="67"/>
        <w:insideV w:val="single" w:sz="4" w:space="0" w:color="FF87C4" w:themeColor="accent2" w:themeTint="67"/>
      </w:tblBorders>
    </w:tblPr>
    <w:tblStylePr w:type="firstRow">
      <w:rPr>
        <w:b/>
        <w:color w:val="404040"/>
      </w:rPr>
      <w:tblPr/>
      <w:tcPr>
        <w:tcBorders>
          <w:bottom w:val="single" w:sz="12" w:space="0" w:color="FF52AA"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87C4" w:themeColor="accent2" w:themeTint="67"/>
          <w:left w:val="single" w:sz="4" w:space="0" w:color="FF87C4" w:themeColor="accent2" w:themeTint="67"/>
          <w:bottom w:val="single" w:sz="4" w:space="0" w:color="FF87C4" w:themeColor="accent2" w:themeTint="67"/>
          <w:right w:val="single" w:sz="4" w:space="0" w:color="FF87C4" w:themeColor="accent2" w:themeTint="67"/>
        </w:tcBorders>
      </w:tcPr>
    </w:tblStylePr>
  </w:style>
  <w:style w:type="table" w:customStyle="1" w:styleId="GridTable1Light-Accent31">
    <w:name w:val="Grid Table 1 Light - Accent 31"/>
    <w:basedOn w:val="TableNormal"/>
    <w:uiPriority w:val="99"/>
    <w:pPr>
      <w:spacing w:after="0" w:line="240" w:lineRule="auto"/>
    </w:pPr>
    <w:tblPr>
      <w:tblStyleRowBandSize w:val="1"/>
      <w:tblStyleColBandSize w:val="1"/>
      <w:tblBorders>
        <w:top w:val="single" w:sz="4" w:space="0" w:color="FBD4C8" w:themeColor="accent3" w:themeTint="67"/>
        <w:left w:val="single" w:sz="4" w:space="0" w:color="FBD4C8" w:themeColor="accent3" w:themeTint="67"/>
        <w:bottom w:val="single" w:sz="4" w:space="0" w:color="FBD4C8" w:themeColor="accent3" w:themeTint="67"/>
        <w:right w:val="single" w:sz="4" w:space="0" w:color="FBD4C8" w:themeColor="accent3" w:themeTint="67"/>
        <w:insideH w:val="single" w:sz="4" w:space="0" w:color="FBD4C8" w:themeColor="accent3" w:themeTint="67"/>
        <w:insideV w:val="single" w:sz="4" w:space="0" w:color="FBD4C8" w:themeColor="accent3" w:themeTint="67"/>
      </w:tblBorders>
    </w:tblPr>
    <w:tblStylePr w:type="firstRow">
      <w:rPr>
        <w:b/>
        <w:color w:val="404040"/>
      </w:rPr>
      <w:tblPr/>
      <w:tcPr>
        <w:tcBorders>
          <w:bottom w:val="single" w:sz="12" w:space="0" w:color="F9C1AF"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C8" w:themeColor="accent3" w:themeTint="67"/>
          <w:left w:val="single" w:sz="4" w:space="0" w:color="FBD4C8" w:themeColor="accent3" w:themeTint="67"/>
          <w:bottom w:val="single" w:sz="4" w:space="0" w:color="FBD4C8" w:themeColor="accent3" w:themeTint="67"/>
          <w:right w:val="single" w:sz="4" w:space="0" w:color="FBD4C8" w:themeColor="accent3" w:themeTint="67"/>
        </w:tcBorders>
      </w:tcPr>
    </w:tblStylePr>
  </w:style>
  <w:style w:type="table" w:customStyle="1" w:styleId="GridTable1Light-Accent41">
    <w:name w:val="Grid Table 1 Light - Accent 41"/>
    <w:basedOn w:val="TableNormal"/>
    <w:uiPriority w:val="99"/>
    <w:pPr>
      <w:spacing w:after="0" w:line="240" w:lineRule="auto"/>
    </w:pPr>
    <w:tblPr>
      <w:tblStyleRowBandSize w:val="1"/>
      <w:tblStyleColBandSize w:val="1"/>
      <w:tblBorders>
        <w:top w:val="single" w:sz="4" w:space="0" w:color="EE8E9F" w:themeColor="accent4" w:themeTint="67"/>
        <w:left w:val="single" w:sz="4" w:space="0" w:color="EE8E9F" w:themeColor="accent4" w:themeTint="67"/>
        <w:bottom w:val="single" w:sz="4" w:space="0" w:color="EE8E9F" w:themeColor="accent4" w:themeTint="67"/>
        <w:right w:val="single" w:sz="4" w:space="0" w:color="EE8E9F" w:themeColor="accent4" w:themeTint="67"/>
        <w:insideH w:val="single" w:sz="4" w:space="0" w:color="EE8E9F" w:themeColor="accent4" w:themeTint="67"/>
        <w:insideV w:val="single" w:sz="4" w:space="0" w:color="EE8E9F" w:themeColor="accent4" w:themeTint="67"/>
      </w:tblBorders>
    </w:tblPr>
    <w:tblStylePr w:type="firstRow">
      <w:rPr>
        <w:b/>
        <w:color w:val="404040"/>
      </w:rPr>
      <w:tblPr/>
      <w:tcPr>
        <w:tcBorders>
          <w:bottom w:val="single" w:sz="12" w:space="0" w:color="E65C7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E8E9F" w:themeColor="accent4" w:themeTint="67"/>
          <w:left w:val="single" w:sz="4" w:space="0" w:color="EE8E9F" w:themeColor="accent4" w:themeTint="67"/>
          <w:bottom w:val="single" w:sz="4" w:space="0" w:color="EE8E9F" w:themeColor="accent4" w:themeTint="67"/>
          <w:right w:val="single" w:sz="4" w:space="0" w:color="EE8E9F" w:themeColor="accent4" w:themeTint="67"/>
        </w:tcBorders>
      </w:tcPr>
    </w:tblStylePr>
  </w:style>
  <w:style w:type="table" w:customStyle="1" w:styleId="GridTable1Light-Accent51">
    <w:name w:val="Grid Table 1 Light - Accent 51"/>
    <w:basedOn w:val="TableNormal"/>
    <w:uiPriority w:val="99"/>
    <w:pPr>
      <w:spacing w:after="0" w:line="240" w:lineRule="auto"/>
    </w:pPr>
    <w:tblPr>
      <w:tblStyleRowBandSize w:val="1"/>
      <w:tblStyleColBandSize w:val="1"/>
      <w:tblBorders>
        <w:top w:val="single" w:sz="4" w:space="0" w:color="6CD1F9" w:themeColor="accent5" w:themeTint="67"/>
        <w:left w:val="single" w:sz="4" w:space="0" w:color="6CD1F9" w:themeColor="accent5" w:themeTint="67"/>
        <w:bottom w:val="single" w:sz="4" w:space="0" w:color="6CD1F9" w:themeColor="accent5" w:themeTint="67"/>
        <w:right w:val="single" w:sz="4" w:space="0" w:color="6CD1F9" w:themeColor="accent5" w:themeTint="67"/>
        <w:insideH w:val="single" w:sz="4" w:space="0" w:color="6CD1F9" w:themeColor="accent5" w:themeTint="67"/>
        <w:insideV w:val="single" w:sz="4" w:space="0" w:color="6CD1F9" w:themeColor="accent5" w:themeTint="67"/>
      </w:tblBorders>
    </w:tblPr>
    <w:tblStylePr w:type="firstRow">
      <w:rPr>
        <w:b/>
        <w:color w:val="404040"/>
      </w:rPr>
      <w:tblPr/>
      <w:tcPr>
        <w:tcBorders>
          <w:bottom w:val="single" w:sz="12" w:space="0" w:color="2BBDF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6CD1F9" w:themeColor="accent5" w:themeTint="67"/>
          <w:left w:val="single" w:sz="4" w:space="0" w:color="6CD1F9" w:themeColor="accent5" w:themeTint="67"/>
          <w:bottom w:val="single" w:sz="4" w:space="0" w:color="6CD1F9" w:themeColor="accent5" w:themeTint="67"/>
          <w:right w:val="single" w:sz="4" w:space="0" w:color="6CD1F9" w:themeColor="accent5" w:themeTint="67"/>
        </w:tcBorders>
      </w:tcPr>
    </w:tblStylePr>
  </w:style>
  <w:style w:type="table" w:customStyle="1" w:styleId="GridTable1Light-Accent61">
    <w:name w:val="Grid Table 1 Light - Accent 61"/>
    <w:basedOn w:val="TableNormal"/>
    <w:uiPriority w:val="99"/>
    <w:pPr>
      <w:spacing w:after="0" w:line="240" w:lineRule="auto"/>
    </w:pPr>
    <w:tblPr>
      <w:tblStyleRowBandSize w:val="1"/>
      <w:tblStyleColBandSize w:val="1"/>
      <w:tblBorders>
        <w:top w:val="single" w:sz="4" w:space="0" w:color="989898" w:themeColor="accent6" w:themeTint="67"/>
        <w:left w:val="single" w:sz="4" w:space="0" w:color="989898" w:themeColor="accent6" w:themeTint="67"/>
        <w:bottom w:val="single" w:sz="4" w:space="0" w:color="989898" w:themeColor="accent6" w:themeTint="67"/>
        <w:right w:val="single" w:sz="4" w:space="0" w:color="989898" w:themeColor="accent6" w:themeTint="67"/>
        <w:insideH w:val="single" w:sz="4" w:space="0" w:color="989898" w:themeColor="accent6" w:themeTint="67"/>
        <w:insideV w:val="single" w:sz="4" w:space="0" w:color="989898" w:themeColor="accent6" w:themeTint="67"/>
      </w:tblBorders>
    </w:tblPr>
    <w:tblStylePr w:type="firstRow">
      <w:rPr>
        <w:b/>
        <w:color w:val="404040"/>
      </w:rPr>
      <w:tblPr/>
      <w:tcPr>
        <w:tcBorders>
          <w:bottom w:val="single" w:sz="12" w:space="0" w:color="6A6A6A"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accent6" w:themeTint="67"/>
          <w:left w:val="single" w:sz="4" w:space="0" w:color="989898" w:themeColor="accent6" w:themeTint="67"/>
          <w:bottom w:val="single" w:sz="4" w:space="0" w:color="989898" w:themeColor="accent6" w:themeTint="67"/>
          <w:right w:val="single" w:sz="4" w:space="0" w:color="989898" w:themeColor="accent6" w:themeTint="67"/>
        </w:tcBorders>
      </w:tcPr>
    </w:tblStylePr>
  </w:style>
  <w:style w:type="table" w:styleId="GridTable2">
    <w:name w:val="Grid Table 2"/>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1">
    <w:name w:val="Grid Table 2 - Accent 11"/>
    <w:basedOn w:val="TableNormal"/>
    <w:uiPriority w:val="99"/>
    <w:pPr>
      <w:spacing w:after="0" w:line="240" w:lineRule="auto"/>
    </w:pPr>
    <w:tblPr>
      <w:tblStyleRowBandSize w:val="1"/>
      <w:tblStyleColBandSize w:val="1"/>
      <w:tblBorders>
        <w:bottom w:val="single" w:sz="4" w:space="0" w:color="57A8B7" w:themeColor="accent1" w:themeTint="EA"/>
        <w:insideH w:val="single" w:sz="4" w:space="0" w:color="57A8B7" w:themeColor="accent1" w:themeTint="EA"/>
        <w:insideV w:val="single" w:sz="4" w:space="0" w:color="57A8B7" w:themeColor="accent1" w:themeTint="EA"/>
      </w:tblBorders>
    </w:tblPr>
    <w:tblStylePr w:type="firstRow">
      <w:rPr>
        <w:b/>
        <w:color w:val="404040"/>
      </w:rPr>
      <w:tblPr/>
      <w:tcPr>
        <w:tcBorders>
          <w:top w:val="none" w:sz="4" w:space="0" w:color="000000"/>
          <w:left w:val="none" w:sz="4" w:space="0" w:color="000000"/>
          <w:bottom w:val="single" w:sz="12" w:space="0" w:color="57A8B7" w:themeColor="accent1" w:themeTint="EA"/>
          <w:right w:val="none" w:sz="4" w:space="0" w:color="000000"/>
        </w:tcBorders>
        <w:shd w:val="clear" w:color="FFFFFF" w:fill="auto"/>
      </w:tcPr>
    </w:tblStylePr>
    <w:tblStylePr w:type="lastRow">
      <w:rPr>
        <w:b/>
        <w:color w:val="404040"/>
      </w:rPr>
      <w:tblPr/>
      <w:tcPr>
        <w:tcBorders>
          <w:top w:val="single" w:sz="4" w:space="0" w:color="57A8B7"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9EBEF" w:themeColor="accent1" w:themeTint="34" w:fill="D9EBEF" w:themeFill="accent1" w:themeFillTint="34"/>
      </w:tcPr>
    </w:tblStylePr>
    <w:tblStylePr w:type="band1Horz">
      <w:rPr>
        <w:rFonts w:ascii="Arial" w:hAnsi="Arial"/>
        <w:color w:val="404040"/>
        <w:sz w:val="22"/>
      </w:rPr>
      <w:tblPr/>
      <w:tcPr>
        <w:shd w:val="clear" w:color="D9EBEF" w:themeColor="accent1" w:themeTint="34" w:fill="D9EBEF" w:themeFill="accent1" w:themeFillTint="34"/>
      </w:tcPr>
    </w:tblStylePr>
  </w:style>
  <w:style w:type="table" w:customStyle="1" w:styleId="GridTable2-Accent21">
    <w:name w:val="Grid Table 2 - Accent 21"/>
    <w:basedOn w:val="TableNormal"/>
    <w:uiPriority w:val="99"/>
    <w:pPr>
      <w:spacing w:after="0" w:line="240" w:lineRule="auto"/>
    </w:pPr>
    <w:tblPr>
      <w:tblStyleRowBandSize w:val="1"/>
      <w:tblStyleColBandSize w:val="1"/>
      <w:tblBorders>
        <w:bottom w:val="single" w:sz="4" w:space="0" w:color="FF50A9" w:themeColor="accent2" w:themeTint="97"/>
        <w:insideH w:val="single" w:sz="4" w:space="0" w:color="FF50A9" w:themeColor="accent2" w:themeTint="97"/>
        <w:insideV w:val="single" w:sz="4" w:space="0" w:color="FF50A9" w:themeColor="accent2" w:themeTint="97"/>
      </w:tblBorders>
    </w:tblPr>
    <w:tblStylePr w:type="firstRow">
      <w:rPr>
        <w:b/>
        <w:color w:val="404040"/>
      </w:rPr>
      <w:tblPr/>
      <w:tcPr>
        <w:tcBorders>
          <w:top w:val="none" w:sz="4" w:space="0" w:color="000000"/>
          <w:left w:val="none" w:sz="4" w:space="0" w:color="000000"/>
          <w:bottom w:val="single" w:sz="12" w:space="0" w:color="FF50A9" w:themeColor="accent2" w:themeTint="97"/>
          <w:right w:val="none" w:sz="4" w:space="0" w:color="000000"/>
        </w:tcBorders>
        <w:shd w:val="clear" w:color="FFFFFF" w:fill="auto"/>
      </w:tcPr>
    </w:tblStylePr>
    <w:tblStylePr w:type="lastRow">
      <w:rPr>
        <w:b/>
        <w:color w:val="404040"/>
      </w:rPr>
      <w:tblPr/>
      <w:tcPr>
        <w:tcBorders>
          <w:top w:val="single" w:sz="4" w:space="0" w:color="FF50A9"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C5E2" w:themeColor="accent2" w:themeTint="32" w:fill="FFC5E2" w:themeFill="accent2" w:themeFillTint="32"/>
      </w:tcPr>
    </w:tblStylePr>
    <w:tblStylePr w:type="band1Horz">
      <w:rPr>
        <w:rFonts w:ascii="Arial" w:hAnsi="Arial"/>
        <w:color w:val="404040"/>
        <w:sz w:val="22"/>
      </w:rPr>
      <w:tblPr/>
      <w:tcPr>
        <w:shd w:val="clear" w:color="FFC5E2" w:themeColor="accent2" w:themeTint="32" w:fill="FFC5E2" w:themeFill="accent2" w:themeFillTint="32"/>
      </w:tcPr>
    </w:tblStylePr>
  </w:style>
  <w:style w:type="table" w:customStyle="1" w:styleId="GridTable2-Accent31">
    <w:name w:val="Grid Table 2 - Accent 31"/>
    <w:basedOn w:val="TableNormal"/>
    <w:uiPriority w:val="99"/>
    <w:pPr>
      <w:spacing w:after="0" w:line="240" w:lineRule="auto"/>
    </w:pPr>
    <w:tblPr>
      <w:tblStyleRowBandSize w:val="1"/>
      <w:tblStyleColBandSize w:val="1"/>
      <w:tblBorders>
        <w:bottom w:val="single" w:sz="4" w:space="0" w:color="F59678" w:themeColor="accent3" w:themeTint="FE"/>
        <w:insideH w:val="single" w:sz="4" w:space="0" w:color="F59678" w:themeColor="accent3" w:themeTint="FE"/>
        <w:insideV w:val="single" w:sz="4" w:space="0" w:color="F59678" w:themeColor="accent3" w:themeTint="FE"/>
      </w:tblBorders>
    </w:tblPr>
    <w:tblStylePr w:type="firstRow">
      <w:rPr>
        <w:b/>
        <w:color w:val="404040"/>
      </w:rPr>
      <w:tblPr/>
      <w:tcPr>
        <w:tcBorders>
          <w:top w:val="none" w:sz="4" w:space="0" w:color="000000"/>
          <w:left w:val="none" w:sz="4" w:space="0" w:color="000000"/>
          <w:bottom w:val="single" w:sz="12" w:space="0" w:color="F59678" w:themeColor="accent3" w:themeTint="FE"/>
          <w:right w:val="none" w:sz="4" w:space="0" w:color="000000"/>
        </w:tcBorders>
        <w:shd w:val="clear" w:color="FFFFFF" w:fill="auto"/>
      </w:tcPr>
    </w:tblStylePr>
    <w:tblStylePr w:type="lastRow">
      <w:rPr>
        <w:b/>
        <w:color w:val="404040"/>
      </w:rPr>
      <w:tblPr/>
      <w:tcPr>
        <w:tcBorders>
          <w:top w:val="single" w:sz="4" w:space="0" w:color="F59678"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E3" w:themeColor="accent3" w:themeTint="34" w:fill="FDE9E3" w:themeFill="accent3" w:themeFillTint="34"/>
      </w:tcPr>
    </w:tblStylePr>
    <w:tblStylePr w:type="band1Horz">
      <w:rPr>
        <w:rFonts w:ascii="Arial" w:hAnsi="Arial"/>
        <w:color w:val="404040"/>
        <w:sz w:val="22"/>
      </w:rPr>
      <w:tblPr/>
      <w:tcPr>
        <w:shd w:val="clear" w:color="FDE9E3" w:themeColor="accent3" w:themeTint="34" w:fill="FDE9E3" w:themeFill="accent3" w:themeFillTint="34"/>
      </w:tcPr>
    </w:tblStylePr>
  </w:style>
  <w:style w:type="table" w:customStyle="1" w:styleId="GridTable2-Accent41">
    <w:name w:val="Grid Table 2 - Accent 41"/>
    <w:basedOn w:val="TableNormal"/>
    <w:uiPriority w:val="99"/>
    <w:pPr>
      <w:spacing w:after="0" w:line="240" w:lineRule="auto"/>
    </w:pPr>
    <w:tblPr>
      <w:tblStyleRowBandSize w:val="1"/>
      <w:tblStyleColBandSize w:val="1"/>
      <w:tblBorders>
        <w:bottom w:val="single" w:sz="4" w:space="0" w:color="E55770" w:themeColor="accent4" w:themeTint="9A"/>
        <w:insideH w:val="single" w:sz="4" w:space="0" w:color="E55770" w:themeColor="accent4" w:themeTint="9A"/>
        <w:insideV w:val="single" w:sz="4" w:space="0" w:color="E55770" w:themeColor="accent4" w:themeTint="9A"/>
      </w:tblBorders>
    </w:tblPr>
    <w:tblStylePr w:type="firstRow">
      <w:rPr>
        <w:b/>
        <w:color w:val="404040"/>
      </w:rPr>
      <w:tblPr/>
      <w:tcPr>
        <w:tcBorders>
          <w:top w:val="none" w:sz="4" w:space="0" w:color="000000"/>
          <w:left w:val="none" w:sz="4" w:space="0" w:color="000000"/>
          <w:bottom w:val="single" w:sz="12" w:space="0" w:color="E55770" w:themeColor="accent4" w:themeTint="9A"/>
          <w:right w:val="none" w:sz="4" w:space="0" w:color="000000"/>
        </w:tcBorders>
        <w:shd w:val="clear" w:color="FFFFFF" w:fill="auto"/>
      </w:tcPr>
    </w:tblStylePr>
    <w:tblStylePr w:type="lastRow">
      <w:rPr>
        <w:b/>
        <w:color w:val="404040"/>
      </w:rPr>
      <w:tblPr/>
      <w:tcPr>
        <w:tcBorders>
          <w:top w:val="single" w:sz="4" w:space="0" w:color="E55770"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6C6CE" w:themeColor="accent4" w:themeTint="34" w:fill="F6C6CE" w:themeFill="accent4" w:themeFillTint="34"/>
      </w:tcPr>
    </w:tblStylePr>
    <w:tblStylePr w:type="band1Horz">
      <w:rPr>
        <w:rFonts w:ascii="Arial" w:hAnsi="Arial"/>
        <w:color w:val="404040"/>
        <w:sz w:val="22"/>
      </w:rPr>
      <w:tblPr/>
      <w:tcPr>
        <w:shd w:val="clear" w:color="F6C6CE" w:themeColor="accent4" w:themeTint="34" w:fill="F6C6CE" w:themeFill="accent4" w:themeFillTint="34"/>
      </w:tcPr>
    </w:tblStylePr>
  </w:style>
  <w:style w:type="table" w:customStyle="1" w:styleId="GridTable2-Accent51">
    <w:name w:val="Grid Table 2 - Accent 51"/>
    <w:basedOn w:val="TableNormal"/>
    <w:uiPriority w:val="99"/>
    <w:pPr>
      <w:spacing w:after="0" w:line="240" w:lineRule="auto"/>
    </w:pPr>
    <w:tblPr>
      <w:tblStyleRowBandSize w:val="1"/>
      <w:tblStyleColBandSize w:val="1"/>
      <w:tblBorders>
        <w:bottom w:val="single" w:sz="4" w:space="0" w:color="055F82" w:themeColor="accent5"/>
        <w:insideH w:val="single" w:sz="4" w:space="0" w:color="055F82" w:themeColor="accent5"/>
        <w:insideV w:val="single" w:sz="4" w:space="0" w:color="055F82" w:themeColor="accent5"/>
      </w:tblBorders>
    </w:tblPr>
    <w:tblStylePr w:type="firstRow">
      <w:rPr>
        <w:b/>
        <w:color w:val="404040"/>
      </w:rPr>
      <w:tblPr/>
      <w:tcPr>
        <w:tcBorders>
          <w:top w:val="none" w:sz="4" w:space="0" w:color="000000"/>
          <w:left w:val="none" w:sz="4" w:space="0" w:color="000000"/>
          <w:bottom w:val="single" w:sz="12" w:space="0" w:color="055F82" w:themeColor="accent5"/>
          <w:right w:val="none" w:sz="4" w:space="0" w:color="000000"/>
        </w:tcBorders>
        <w:shd w:val="clear" w:color="FFFFFF" w:fill="auto"/>
      </w:tcPr>
    </w:tblStylePr>
    <w:tblStylePr w:type="lastRow">
      <w:rPr>
        <w:b/>
        <w:color w:val="404040"/>
      </w:rPr>
      <w:tblPr/>
      <w:tcPr>
        <w:tcBorders>
          <w:top w:val="single" w:sz="4" w:space="0" w:color="055F82"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5E8FC" w:themeColor="accent5" w:themeTint="34" w:fill="B5E8FC" w:themeFill="accent5" w:themeFillTint="34"/>
      </w:tcPr>
    </w:tblStylePr>
    <w:tblStylePr w:type="band1Horz">
      <w:rPr>
        <w:rFonts w:ascii="Arial" w:hAnsi="Arial"/>
        <w:color w:val="404040"/>
        <w:sz w:val="22"/>
      </w:rPr>
      <w:tblPr/>
      <w:tcPr>
        <w:shd w:val="clear" w:color="B5E8FC" w:themeColor="accent5" w:themeTint="34" w:fill="B5E8FC" w:themeFill="accent5" w:themeFillTint="34"/>
      </w:tcPr>
    </w:tblStylePr>
  </w:style>
  <w:style w:type="table" w:customStyle="1" w:styleId="GridTable2-Accent61">
    <w:name w:val="Grid Table 2 - Accent 61"/>
    <w:basedOn w:val="TableNormal"/>
    <w:uiPriority w:val="99"/>
    <w:pPr>
      <w:spacing w:after="0" w:line="240" w:lineRule="auto"/>
    </w:pPr>
    <w:tblPr>
      <w:tblStyleRowBandSize w:val="1"/>
      <w:tblStyleColBandSize w:val="1"/>
      <w:tblBorders>
        <w:bottom w:val="single" w:sz="4" w:space="0" w:color="000000" w:themeColor="accent6"/>
        <w:insideH w:val="single" w:sz="4" w:space="0" w:color="000000" w:themeColor="accent6"/>
        <w:insideV w:val="single" w:sz="4" w:space="0" w:color="000000" w:themeColor="accent6"/>
      </w:tblBorders>
    </w:tblPr>
    <w:tblStylePr w:type="firstRow">
      <w:rPr>
        <w:b/>
        <w:color w:val="404040"/>
      </w:rPr>
      <w:tblPr/>
      <w:tcPr>
        <w:tcBorders>
          <w:top w:val="none" w:sz="4" w:space="0" w:color="000000"/>
          <w:left w:val="none" w:sz="4" w:space="0" w:color="000000"/>
          <w:bottom w:val="single" w:sz="12" w:space="0" w:color="000000" w:themeColor="accent6"/>
          <w:right w:val="none" w:sz="4" w:space="0" w:color="000000"/>
        </w:tcBorders>
        <w:shd w:val="clear" w:color="FFFFFF" w:fill="auto"/>
      </w:tcPr>
    </w:tblStylePr>
    <w:tblStylePr w:type="lastRow">
      <w:rPr>
        <w:b/>
        <w:color w:val="404040"/>
      </w:rPr>
      <w:tblPr/>
      <w:tcPr>
        <w:tcBorders>
          <w:top w:val="single" w:sz="4" w:space="0" w:color="000000"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accent6" w:themeTint="34" w:fill="CBCBCB" w:themeFill="accent6" w:themeFillTint="34"/>
      </w:tcPr>
    </w:tblStylePr>
    <w:tblStylePr w:type="band1Horz">
      <w:rPr>
        <w:rFonts w:ascii="Arial" w:hAnsi="Arial"/>
        <w:color w:val="404040"/>
        <w:sz w:val="22"/>
      </w:rPr>
      <w:tblPr/>
      <w:tcPr>
        <w:shd w:val="clear" w:color="CBCBCB" w:themeColor="accent6" w:themeTint="34" w:fill="CBCBCB" w:themeFill="accent6" w:themeFillTint="34"/>
      </w:tcPr>
    </w:tblStylePr>
  </w:style>
  <w:style w:type="table" w:styleId="GridTable3">
    <w:name w:val="Grid Table 3"/>
    <w:basedOn w:val="Table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1">
    <w:name w:val="Grid Table 3 - Accent 11"/>
    <w:basedOn w:val="TableNormal"/>
    <w:uiPriority w:val="99"/>
    <w:pPr>
      <w:spacing w:after="0" w:line="240" w:lineRule="auto"/>
    </w:pPr>
    <w:tblPr>
      <w:tblStyleRowBandSize w:val="1"/>
      <w:tblStyleColBandSize w:val="1"/>
      <w:tblBorders>
        <w:bottom w:val="single" w:sz="4" w:space="0" w:color="57A8B7" w:themeColor="accent1" w:themeTint="EA"/>
        <w:insideH w:val="single" w:sz="4" w:space="0" w:color="57A8B7" w:themeColor="accent1" w:themeTint="EA"/>
        <w:insideV w:val="single" w:sz="4" w:space="0" w:color="57A8B7"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9EBEF" w:themeColor="accent1" w:themeTint="34" w:fill="D9EBEF" w:themeFill="accent1" w:themeFillTint="34"/>
      </w:tcPr>
    </w:tblStylePr>
    <w:tblStylePr w:type="band1Horz">
      <w:rPr>
        <w:rFonts w:ascii="Arial" w:hAnsi="Arial"/>
        <w:color w:val="404040"/>
        <w:sz w:val="22"/>
      </w:rPr>
      <w:tblPr/>
      <w:tcPr>
        <w:shd w:val="clear" w:color="D9EBEF" w:themeColor="accent1" w:themeTint="34" w:fill="D9EBEF" w:themeFill="accent1" w:themeFillTint="34"/>
      </w:tcPr>
    </w:tblStylePr>
  </w:style>
  <w:style w:type="table" w:customStyle="1" w:styleId="GridTable3-Accent21">
    <w:name w:val="Grid Table 3 - Accent 21"/>
    <w:basedOn w:val="TableNormal"/>
    <w:uiPriority w:val="99"/>
    <w:pPr>
      <w:spacing w:after="0" w:line="240" w:lineRule="auto"/>
    </w:pPr>
    <w:tblPr>
      <w:tblStyleRowBandSize w:val="1"/>
      <w:tblStyleColBandSize w:val="1"/>
      <w:tblBorders>
        <w:bottom w:val="single" w:sz="4" w:space="0" w:color="FF50A9" w:themeColor="accent2" w:themeTint="97"/>
        <w:insideH w:val="single" w:sz="4" w:space="0" w:color="FF50A9" w:themeColor="accent2" w:themeTint="97"/>
        <w:insideV w:val="single" w:sz="4" w:space="0" w:color="FF50A9"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C5E2" w:themeColor="accent2" w:themeTint="32" w:fill="FFC5E2" w:themeFill="accent2" w:themeFillTint="32"/>
      </w:tcPr>
    </w:tblStylePr>
    <w:tblStylePr w:type="band1Horz">
      <w:rPr>
        <w:rFonts w:ascii="Arial" w:hAnsi="Arial"/>
        <w:color w:val="404040"/>
        <w:sz w:val="22"/>
      </w:rPr>
      <w:tblPr/>
      <w:tcPr>
        <w:shd w:val="clear" w:color="FFC5E2" w:themeColor="accent2" w:themeTint="32" w:fill="FFC5E2" w:themeFill="accent2" w:themeFillTint="32"/>
      </w:tcPr>
    </w:tblStylePr>
  </w:style>
  <w:style w:type="table" w:customStyle="1" w:styleId="GridTable3-Accent31">
    <w:name w:val="Grid Table 3 - Accent 31"/>
    <w:basedOn w:val="TableNormal"/>
    <w:uiPriority w:val="99"/>
    <w:pPr>
      <w:spacing w:after="0" w:line="240" w:lineRule="auto"/>
    </w:pPr>
    <w:tblPr>
      <w:tblStyleRowBandSize w:val="1"/>
      <w:tblStyleColBandSize w:val="1"/>
      <w:tblBorders>
        <w:bottom w:val="single" w:sz="4" w:space="0" w:color="F59678" w:themeColor="accent3" w:themeTint="FE"/>
        <w:insideH w:val="single" w:sz="4" w:space="0" w:color="F59678" w:themeColor="accent3" w:themeTint="FE"/>
        <w:insideV w:val="single" w:sz="4" w:space="0" w:color="F59678"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E3" w:themeColor="accent3" w:themeTint="34" w:fill="FDE9E3" w:themeFill="accent3" w:themeFillTint="34"/>
      </w:tcPr>
    </w:tblStylePr>
    <w:tblStylePr w:type="band1Horz">
      <w:rPr>
        <w:rFonts w:ascii="Arial" w:hAnsi="Arial"/>
        <w:color w:val="404040"/>
        <w:sz w:val="22"/>
      </w:rPr>
      <w:tblPr/>
      <w:tcPr>
        <w:shd w:val="clear" w:color="FDE9E3" w:themeColor="accent3" w:themeTint="34" w:fill="FDE9E3" w:themeFill="accent3" w:themeFillTint="34"/>
      </w:tcPr>
    </w:tblStylePr>
  </w:style>
  <w:style w:type="table" w:customStyle="1" w:styleId="GridTable3-Accent41">
    <w:name w:val="Grid Table 3 - Accent 41"/>
    <w:basedOn w:val="TableNormal"/>
    <w:uiPriority w:val="99"/>
    <w:pPr>
      <w:spacing w:after="0" w:line="240" w:lineRule="auto"/>
    </w:pPr>
    <w:tblPr>
      <w:tblStyleRowBandSize w:val="1"/>
      <w:tblStyleColBandSize w:val="1"/>
      <w:tblBorders>
        <w:bottom w:val="single" w:sz="4" w:space="0" w:color="E55770" w:themeColor="accent4" w:themeTint="9A"/>
        <w:insideH w:val="single" w:sz="4" w:space="0" w:color="E55770" w:themeColor="accent4" w:themeTint="9A"/>
        <w:insideV w:val="single" w:sz="4" w:space="0" w:color="E55770"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6C6CE" w:themeColor="accent4" w:themeTint="34" w:fill="F6C6CE" w:themeFill="accent4" w:themeFillTint="34"/>
      </w:tcPr>
    </w:tblStylePr>
    <w:tblStylePr w:type="band1Horz">
      <w:rPr>
        <w:rFonts w:ascii="Arial" w:hAnsi="Arial"/>
        <w:color w:val="404040"/>
        <w:sz w:val="22"/>
      </w:rPr>
      <w:tblPr/>
      <w:tcPr>
        <w:shd w:val="clear" w:color="F6C6CE" w:themeColor="accent4" w:themeTint="34" w:fill="F6C6CE" w:themeFill="accent4" w:themeFillTint="34"/>
      </w:tcPr>
    </w:tblStylePr>
  </w:style>
  <w:style w:type="table" w:customStyle="1" w:styleId="GridTable3-Accent51">
    <w:name w:val="Grid Table 3 - Accent 51"/>
    <w:basedOn w:val="TableNormal"/>
    <w:uiPriority w:val="99"/>
    <w:pPr>
      <w:spacing w:after="0" w:line="240" w:lineRule="auto"/>
    </w:pPr>
    <w:tblPr>
      <w:tblStyleRowBandSize w:val="1"/>
      <w:tblStyleColBandSize w:val="1"/>
      <w:tblBorders>
        <w:bottom w:val="single" w:sz="4" w:space="0" w:color="055F82" w:themeColor="accent5"/>
        <w:insideH w:val="single" w:sz="4" w:space="0" w:color="055F82" w:themeColor="accent5"/>
        <w:insideV w:val="single" w:sz="4" w:space="0" w:color="055F82"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5E8FC" w:themeColor="accent5" w:themeTint="34" w:fill="B5E8FC" w:themeFill="accent5" w:themeFillTint="34"/>
      </w:tcPr>
    </w:tblStylePr>
    <w:tblStylePr w:type="band1Horz">
      <w:rPr>
        <w:rFonts w:ascii="Arial" w:hAnsi="Arial"/>
        <w:color w:val="404040"/>
        <w:sz w:val="22"/>
      </w:rPr>
      <w:tblPr/>
      <w:tcPr>
        <w:shd w:val="clear" w:color="B5E8FC" w:themeColor="accent5" w:themeTint="34" w:fill="B5E8FC" w:themeFill="accent5" w:themeFillTint="34"/>
      </w:tcPr>
    </w:tblStylePr>
  </w:style>
  <w:style w:type="table" w:customStyle="1" w:styleId="GridTable3-Accent61">
    <w:name w:val="Grid Table 3 - Accent 61"/>
    <w:basedOn w:val="TableNormal"/>
    <w:uiPriority w:val="99"/>
    <w:pPr>
      <w:spacing w:after="0" w:line="240" w:lineRule="auto"/>
    </w:pPr>
    <w:tblPr>
      <w:tblStyleRowBandSize w:val="1"/>
      <w:tblStyleColBandSize w:val="1"/>
      <w:tblBorders>
        <w:bottom w:val="single" w:sz="4" w:space="0" w:color="000000" w:themeColor="accent6"/>
        <w:insideH w:val="single" w:sz="4" w:space="0" w:color="000000" w:themeColor="accent6"/>
        <w:insideV w:val="single" w:sz="4" w:space="0" w:color="000000"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accent6" w:themeTint="34" w:fill="CBCBCB" w:themeFill="accent6" w:themeFillTint="34"/>
      </w:tcPr>
    </w:tblStylePr>
    <w:tblStylePr w:type="band1Horz">
      <w:rPr>
        <w:rFonts w:ascii="Arial" w:hAnsi="Arial"/>
        <w:color w:val="404040"/>
        <w:sz w:val="22"/>
      </w:rPr>
      <w:tblPr/>
      <w:tcPr>
        <w:shd w:val="clear" w:color="CBCBCB" w:themeColor="accent6" w:themeTint="34" w:fill="CBCBCB" w:themeFill="accent6" w:themeFillTint="34"/>
      </w:tcPr>
    </w:tblStylePr>
  </w:style>
  <w:style w:type="table" w:styleId="GridTable4">
    <w:name w:val="Grid Table 4"/>
    <w:basedOn w:val="Table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1">
    <w:name w:val="Grid Table 4 - Accent 11"/>
    <w:basedOn w:val="TableNormal"/>
    <w:uiPriority w:val="59"/>
    <w:pPr>
      <w:spacing w:after="0" w:line="240" w:lineRule="auto"/>
    </w:pPr>
    <w:tblPr>
      <w:tblStyleRowBandSize w:val="1"/>
      <w:tblStyleColBandSize w:val="1"/>
      <w:tblBorders>
        <w:top w:val="single" w:sz="4" w:space="0" w:color="98C9D3" w:themeColor="accent1" w:themeTint="90"/>
        <w:left w:val="single" w:sz="4" w:space="0" w:color="98C9D3" w:themeColor="accent1" w:themeTint="90"/>
        <w:bottom w:val="single" w:sz="4" w:space="0" w:color="98C9D3" w:themeColor="accent1" w:themeTint="90"/>
        <w:right w:val="single" w:sz="4" w:space="0" w:color="98C9D3" w:themeColor="accent1" w:themeTint="90"/>
        <w:insideH w:val="single" w:sz="4" w:space="0" w:color="98C9D3" w:themeColor="accent1" w:themeTint="90"/>
        <w:insideV w:val="single" w:sz="4" w:space="0" w:color="98C9D3" w:themeColor="accent1" w:themeTint="90"/>
      </w:tblBorders>
    </w:tblPr>
    <w:tblStylePr w:type="firstRow">
      <w:rPr>
        <w:rFonts w:ascii="Arial" w:hAnsi="Arial"/>
        <w:b/>
        <w:color w:val="FFFFFF"/>
        <w:sz w:val="22"/>
      </w:rPr>
      <w:tblPr/>
      <w:tcPr>
        <w:tcBorders>
          <w:top w:val="single" w:sz="4" w:space="0" w:color="57A8B7" w:themeColor="accent1" w:themeTint="EA"/>
          <w:left w:val="single" w:sz="4" w:space="0" w:color="57A8B7" w:themeColor="accent1" w:themeTint="EA"/>
          <w:bottom w:val="single" w:sz="4" w:space="0" w:color="57A8B7" w:themeColor="accent1" w:themeTint="EA"/>
          <w:right w:val="single" w:sz="4" w:space="0" w:color="57A8B7" w:themeColor="accent1" w:themeTint="EA"/>
        </w:tcBorders>
        <w:shd w:val="clear" w:color="57A8B7" w:themeColor="accent1" w:themeTint="EA" w:fill="57A8B7" w:themeFill="accent1" w:themeFillTint="EA"/>
      </w:tcPr>
    </w:tblStylePr>
    <w:tblStylePr w:type="lastRow">
      <w:rPr>
        <w:b/>
        <w:color w:val="404040"/>
      </w:rPr>
      <w:tblPr/>
      <w:tcPr>
        <w:tcBorders>
          <w:top w:val="single" w:sz="4" w:space="0" w:color="57A8B7"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BECEF" w:themeColor="accent1" w:themeTint="32" w:fill="DBECEF" w:themeFill="accent1" w:themeFillTint="32"/>
      </w:tcPr>
    </w:tblStylePr>
    <w:tblStylePr w:type="band1Horz">
      <w:rPr>
        <w:rFonts w:ascii="Arial" w:hAnsi="Arial"/>
        <w:color w:val="404040"/>
        <w:sz w:val="22"/>
      </w:rPr>
      <w:tblPr/>
      <w:tcPr>
        <w:shd w:val="clear" w:color="DBECEF" w:themeColor="accent1" w:themeTint="32" w:fill="DBECEF" w:themeFill="accent1" w:themeFillTint="32"/>
      </w:tcPr>
    </w:tblStylePr>
  </w:style>
  <w:style w:type="table" w:customStyle="1" w:styleId="GridTable4-Accent21">
    <w:name w:val="Grid Table 4 - Accent 21"/>
    <w:basedOn w:val="TableNormal"/>
    <w:uiPriority w:val="59"/>
    <w:pPr>
      <w:spacing w:after="0" w:line="240" w:lineRule="auto"/>
    </w:pPr>
    <w:tblPr>
      <w:tblStyleRowBandSize w:val="1"/>
      <w:tblStyleColBandSize w:val="1"/>
      <w:tblBorders>
        <w:top w:val="single" w:sz="4" w:space="0" w:color="FF58AD" w:themeColor="accent2" w:themeTint="90"/>
        <w:left w:val="single" w:sz="4" w:space="0" w:color="FF58AD" w:themeColor="accent2" w:themeTint="90"/>
        <w:bottom w:val="single" w:sz="4" w:space="0" w:color="FF58AD" w:themeColor="accent2" w:themeTint="90"/>
        <w:right w:val="single" w:sz="4" w:space="0" w:color="FF58AD" w:themeColor="accent2" w:themeTint="90"/>
        <w:insideH w:val="single" w:sz="4" w:space="0" w:color="FF58AD" w:themeColor="accent2" w:themeTint="90"/>
        <w:insideV w:val="single" w:sz="4" w:space="0" w:color="FF58AD" w:themeColor="accent2" w:themeTint="90"/>
      </w:tblBorders>
    </w:tblPr>
    <w:tblStylePr w:type="firstRow">
      <w:rPr>
        <w:rFonts w:ascii="Arial" w:hAnsi="Arial"/>
        <w:b/>
        <w:color w:val="FFFFFF"/>
        <w:sz w:val="22"/>
      </w:rPr>
      <w:tblPr/>
      <w:tcPr>
        <w:tcBorders>
          <w:top w:val="single" w:sz="4" w:space="0" w:color="FF50A9" w:themeColor="accent2" w:themeTint="97"/>
          <w:left w:val="single" w:sz="4" w:space="0" w:color="FF50A9" w:themeColor="accent2" w:themeTint="97"/>
          <w:bottom w:val="single" w:sz="4" w:space="0" w:color="FF50A9" w:themeColor="accent2" w:themeTint="97"/>
          <w:right w:val="single" w:sz="4" w:space="0" w:color="FF50A9" w:themeColor="accent2" w:themeTint="97"/>
        </w:tcBorders>
        <w:shd w:val="clear" w:color="FF50A9" w:themeColor="accent2" w:themeTint="97" w:fill="FF50A9" w:themeFill="accent2" w:themeFillTint="97"/>
      </w:tcPr>
    </w:tblStylePr>
    <w:tblStylePr w:type="lastRow">
      <w:rPr>
        <w:b/>
        <w:color w:val="404040"/>
      </w:rPr>
      <w:tblPr/>
      <w:tcPr>
        <w:tcBorders>
          <w:top w:val="single" w:sz="4" w:space="0" w:color="FF50A9"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C5E2" w:themeColor="accent2" w:themeTint="32" w:fill="FFC5E2" w:themeFill="accent2" w:themeFillTint="32"/>
      </w:tcPr>
    </w:tblStylePr>
    <w:tblStylePr w:type="band1Horz">
      <w:rPr>
        <w:rFonts w:ascii="Arial" w:hAnsi="Arial"/>
        <w:color w:val="404040"/>
        <w:sz w:val="22"/>
      </w:rPr>
      <w:tblPr/>
      <w:tcPr>
        <w:shd w:val="clear" w:color="FFC5E2" w:themeColor="accent2" w:themeTint="32" w:fill="FFC5E2" w:themeFill="accent2" w:themeFillTint="32"/>
      </w:tcPr>
    </w:tblStylePr>
  </w:style>
  <w:style w:type="table" w:customStyle="1" w:styleId="GridTable4-Accent31">
    <w:name w:val="Grid Table 4 - Accent 31"/>
    <w:basedOn w:val="TableNormal"/>
    <w:uiPriority w:val="59"/>
    <w:pPr>
      <w:spacing w:after="0" w:line="240" w:lineRule="auto"/>
    </w:pPr>
    <w:tblPr>
      <w:tblStyleRowBandSize w:val="1"/>
      <w:tblStyleColBandSize w:val="1"/>
      <w:tblBorders>
        <w:top w:val="single" w:sz="4" w:space="0" w:color="F9C3B2" w:themeColor="accent3" w:themeTint="90"/>
        <w:left w:val="single" w:sz="4" w:space="0" w:color="F9C3B2" w:themeColor="accent3" w:themeTint="90"/>
        <w:bottom w:val="single" w:sz="4" w:space="0" w:color="F9C3B2" w:themeColor="accent3" w:themeTint="90"/>
        <w:right w:val="single" w:sz="4" w:space="0" w:color="F9C3B2" w:themeColor="accent3" w:themeTint="90"/>
        <w:insideH w:val="single" w:sz="4" w:space="0" w:color="F9C3B2" w:themeColor="accent3" w:themeTint="90"/>
        <w:insideV w:val="single" w:sz="4" w:space="0" w:color="F9C3B2" w:themeColor="accent3" w:themeTint="90"/>
      </w:tblBorders>
    </w:tblPr>
    <w:tblStylePr w:type="firstRow">
      <w:rPr>
        <w:rFonts w:ascii="Arial" w:hAnsi="Arial"/>
        <w:b/>
        <w:color w:val="FFFFFF"/>
        <w:sz w:val="22"/>
      </w:rPr>
      <w:tblPr/>
      <w:tcPr>
        <w:tcBorders>
          <w:top w:val="single" w:sz="4" w:space="0" w:color="F59678" w:themeColor="accent3" w:themeTint="FE"/>
          <w:left w:val="single" w:sz="4" w:space="0" w:color="F59678" w:themeColor="accent3" w:themeTint="FE"/>
          <w:bottom w:val="single" w:sz="4" w:space="0" w:color="F59678" w:themeColor="accent3" w:themeTint="FE"/>
          <w:right w:val="single" w:sz="4" w:space="0" w:color="F59678" w:themeColor="accent3" w:themeTint="FE"/>
        </w:tcBorders>
        <w:shd w:val="clear" w:color="F59678" w:themeColor="accent3" w:themeTint="FE" w:fill="F59678" w:themeFill="accent3" w:themeFillTint="FE"/>
      </w:tcPr>
    </w:tblStylePr>
    <w:tblStylePr w:type="lastRow">
      <w:rPr>
        <w:b/>
        <w:color w:val="404040"/>
      </w:rPr>
      <w:tblPr/>
      <w:tcPr>
        <w:tcBorders>
          <w:top w:val="single" w:sz="4" w:space="0" w:color="F59678"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E3" w:themeColor="accent3" w:themeTint="34" w:fill="FDE9E3" w:themeFill="accent3" w:themeFillTint="34"/>
      </w:tcPr>
    </w:tblStylePr>
    <w:tblStylePr w:type="band1Horz">
      <w:rPr>
        <w:rFonts w:ascii="Arial" w:hAnsi="Arial"/>
        <w:color w:val="404040"/>
        <w:sz w:val="22"/>
      </w:rPr>
      <w:tblPr/>
      <w:tcPr>
        <w:shd w:val="clear" w:color="FDE9E3" w:themeColor="accent3" w:themeTint="34" w:fill="FDE9E3" w:themeFill="accent3" w:themeFillTint="34"/>
      </w:tcPr>
    </w:tblStylePr>
  </w:style>
  <w:style w:type="table" w:customStyle="1" w:styleId="GridTable4-Accent41">
    <w:name w:val="Grid Table 4 - Accent 41"/>
    <w:basedOn w:val="TableNormal"/>
    <w:uiPriority w:val="59"/>
    <w:pPr>
      <w:spacing w:after="0" w:line="240" w:lineRule="auto"/>
    </w:pPr>
    <w:tblPr>
      <w:tblStyleRowBandSize w:val="1"/>
      <w:tblStyleColBandSize w:val="1"/>
      <w:tblBorders>
        <w:top w:val="single" w:sz="4" w:space="0" w:color="E76179" w:themeColor="accent4" w:themeTint="90"/>
        <w:left w:val="single" w:sz="4" w:space="0" w:color="E76179" w:themeColor="accent4" w:themeTint="90"/>
        <w:bottom w:val="single" w:sz="4" w:space="0" w:color="E76179" w:themeColor="accent4" w:themeTint="90"/>
        <w:right w:val="single" w:sz="4" w:space="0" w:color="E76179" w:themeColor="accent4" w:themeTint="90"/>
        <w:insideH w:val="single" w:sz="4" w:space="0" w:color="E76179" w:themeColor="accent4" w:themeTint="90"/>
        <w:insideV w:val="single" w:sz="4" w:space="0" w:color="E76179" w:themeColor="accent4" w:themeTint="90"/>
      </w:tblBorders>
    </w:tblPr>
    <w:tblStylePr w:type="firstRow">
      <w:rPr>
        <w:rFonts w:ascii="Arial" w:hAnsi="Arial"/>
        <w:b/>
        <w:color w:val="FFFFFF"/>
        <w:sz w:val="22"/>
      </w:rPr>
      <w:tblPr/>
      <w:tcPr>
        <w:tcBorders>
          <w:top w:val="single" w:sz="4" w:space="0" w:color="E55770" w:themeColor="accent4" w:themeTint="9A"/>
          <w:left w:val="single" w:sz="4" w:space="0" w:color="E55770" w:themeColor="accent4" w:themeTint="9A"/>
          <w:bottom w:val="single" w:sz="4" w:space="0" w:color="E55770" w:themeColor="accent4" w:themeTint="9A"/>
          <w:right w:val="single" w:sz="4" w:space="0" w:color="E55770" w:themeColor="accent4" w:themeTint="9A"/>
        </w:tcBorders>
        <w:shd w:val="clear" w:color="E55770" w:themeColor="accent4" w:themeTint="9A" w:fill="E55770" w:themeFill="accent4" w:themeFillTint="9A"/>
      </w:tcPr>
    </w:tblStylePr>
    <w:tblStylePr w:type="lastRow">
      <w:rPr>
        <w:b/>
        <w:color w:val="404040"/>
      </w:rPr>
      <w:tblPr/>
      <w:tcPr>
        <w:tcBorders>
          <w:top w:val="single" w:sz="4" w:space="0" w:color="E55770"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6C6CE" w:themeColor="accent4" w:themeTint="34" w:fill="F6C6CE" w:themeFill="accent4" w:themeFillTint="34"/>
      </w:tcPr>
    </w:tblStylePr>
    <w:tblStylePr w:type="band1Horz">
      <w:rPr>
        <w:rFonts w:ascii="Arial" w:hAnsi="Arial"/>
        <w:color w:val="404040"/>
        <w:sz w:val="22"/>
      </w:rPr>
      <w:tblPr/>
      <w:tcPr>
        <w:shd w:val="clear" w:color="F6C6CE" w:themeColor="accent4" w:themeTint="34" w:fill="F6C6CE" w:themeFill="accent4" w:themeFillTint="34"/>
      </w:tcPr>
    </w:tblStylePr>
  </w:style>
  <w:style w:type="table" w:customStyle="1" w:styleId="GridTable4-Accent51">
    <w:name w:val="Grid Table 4 - Accent 51"/>
    <w:basedOn w:val="TableNormal"/>
    <w:uiPriority w:val="59"/>
    <w:pPr>
      <w:spacing w:after="0" w:line="240" w:lineRule="auto"/>
    </w:pPr>
    <w:tblPr>
      <w:tblStyleRowBandSize w:val="1"/>
      <w:tblStyleColBandSize w:val="1"/>
      <w:tblBorders>
        <w:top w:val="single" w:sz="4" w:space="0" w:color="32BFF7" w:themeColor="accent5" w:themeTint="90"/>
        <w:left w:val="single" w:sz="4" w:space="0" w:color="32BFF7" w:themeColor="accent5" w:themeTint="90"/>
        <w:bottom w:val="single" w:sz="4" w:space="0" w:color="32BFF7" w:themeColor="accent5" w:themeTint="90"/>
        <w:right w:val="single" w:sz="4" w:space="0" w:color="32BFF7" w:themeColor="accent5" w:themeTint="90"/>
        <w:insideH w:val="single" w:sz="4" w:space="0" w:color="32BFF7" w:themeColor="accent5" w:themeTint="90"/>
        <w:insideV w:val="single" w:sz="4" w:space="0" w:color="32BFF7" w:themeColor="accent5" w:themeTint="90"/>
      </w:tblBorders>
    </w:tblPr>
    <w:tblStylePr w:type="firstRow">
      <w:rPr>
        <w:rFonts w:ascii="Arial" w:hAnsi="Arial"/>
        <w:b/>
        <w:color w:val="FFFFFF"/>
        <w:sz w:val="22"/>
      </w:rPr>
      <w:tblPr/>
      <w:tcPr>
        <w:tcBorders>
          <w:top w:val="single" w:sz="4" w:space="0" w:color="055F82" w:themeColor="accent5"/>
          <w:left w:val="single" w:sz="4" w:space="0" w:color="055F82" w:themeColor="accent5"/>
          <w:bottom w:val="single" w:sz="4" w:space="0" w:color="055F82" w:themeColor="accent5"/>
          <w:right w:val="single" w:sz="4" w:space="0" w:color="055F82" w:themeColor="accent5"/>
        </w:tcBorders>
        <w:shd w:val="clear" w:color="055F82" w:themeColor="accent5" w:fill="055F82" w:themeFill="accent5"/>
      </w:tcPr>
    </w:tblStylePr>
    <w:tblStylePr w:type="lastRow">
      <w:rPr>
        <w:b/>
        <w:color w:val="404040"/>
      </w:rPr>
      <w:tblPr/>
      <w:tcPr>
        <w:tcBorders>
          <w:top w:val="single" w:sz="4" w:space="0" w:color="055F82"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5E8FC" w:themeColor="accent5" w:themeTint="34" w:fill="B5E8FC" w:themeFill="accent5" w:themeFillTint="34"/>
      </w:tcPr>
    </w:tblStylePr>
    <w:tblStylePr w:type="band1Horz">
      <w:rPr>
        <w:rFonts w:ascii="Arial" w:hAnsi="Arial"/>
        <w:color w:val="404040"/>
        <w:sz w:val="22"/>
      </w:rPr>
      <w:tblPr/>
      <w:tcPr>
        <w:shd w:val="clear" w:color="B5E8FC" w:themeColor="accent5" w:themeTint="34" w:fill="B5E8FC" w:themeFill="accent5" w:themeFillTint="34"/>
      </w:tcPr>
    </w:tblStylePr>
  </w:style>
  <w:style w:type="table" w:customStyle="1" w:styleId="GridTable4-Accent61">
    <w:name w:val="Grid Table 4 - Accent 61"/>
    <w:basedOn w:val="TableNormal"/>
    <w:uiPriority w:val="59"/>
    <w:pPr>
      <w:spacing w:after="0" w:line="240" w:lineRule="auto"/>
    </w:pPr>
    <w:tblPr>
      <w:tblStyleRowBandSize w:val="1"/>
      <w:tblStyleColBandSize w:val="1"/>
      <w:tblBorders>
        <w:top w:val="single" w:sz="4" w:space="0" w:color="6F6F6F" w:themeColor="accent6" w:themeTint="90"/>
        <w:left w:val="single" w:sz="4" w:space="0" w:color="6F6F6F" w:themeColor="accent6" w:themeTint="90"/>
        <w:bottom w:val="single" w:sz="4" w:space="0" w:color="6F6F6F" w:themeColor="accent6" w:themeTint="90"/>
        <w:right w:val="single" w:sz="4" w:space="0" w:color="6F6F6F" w:themeColor="accent6" w:themeTint="90"/>
        <w:insideH w:val="single" w:sz="4" w:space="0" w:color="6F6F6F" w:themeColor="accent6" w:themeTint="90"/>
        <w:insideV w:val="single" w:sz="4" w:space="0" w:color="6F6F6F" w:themeColor="accent6" w:themeTint="90"/>
      </w:tblBorders>
    </w:tblPr>
    <w:tblStylePr w:type="firstRow">
      <w:rPr>
        <w:rFonts w:ascii="Arial" w:hAnsi="Arial"/>
        <w:b/>
        <w:color w:val="FFFFFF"/>
        <w:sz w:val="22"/>
      </w:rPr>
      <w:tblPr/>
      <w:tcPr>
        <w:tcBorders>
          <w:top w:val="single" w:sz="4" w:space="0" w:color="000000" w:themeColor="accent6"/>
          <w:left w:val="single" w:sz="4" w:space="0" w:color="000000" w:themeColor="accent6"/>
          <w:bottom w:val="single" w:sz="4" w:space="0" w:color="000000" w:themeColor="accent6"/>
          <w:right w:val="single" w:sz="4" w:space="0" w:color="000000" w:themeColor="accent6"/>
        </w:tcBorders>
        <w:shd w:val="clear" w:color="000000" w:themeColor="accent6" w:fill="000000" w:themeFill="accent6"/>
      </w:tcPr>
    </w:tblStylePr>
    <w:tblStylePr w:type="lastRow">
      <w:rPr>
        <w:b/>
        <w:color w:val="404040"/>
      </w:rPr>
      <w:tblPr/>
      <w:tcPr>
        <w:tcBorders>
          <w:top w:val="single" w:sz="4" w:space="0" w:color="000000"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accent6" w:themeTint="34" w:fill="CBCBCB" w:themeFill="accent6" w:themeFillTint="34"/>
      </w:tcPr>
    </w:tblStylePr>
    <w:tblStylePr w:type="band1Horz">
      <w:rPr>
        <w:rFonts w:ascii="Arial" w:hAnsi="Arial"/>
        <w:color w:val="404040"/>
        <w:sz w:val="22"/>
      </w:rPr>
      <w:tblPr/>
      <w:tcPr>
        <w:shd w:val="clear" w:color="CBCBCB" w:themeColor="accent6" w:themeTint="34" w:fill="CBCBCB" w:themeFill="accent6" w:themeFillTint="34"/>
      </w:tcPr>
    </w:tblStylePr>
  </w:style>
  <w:style w:type="table" w:styleId="GridTable5Dark">
    <w:name w:val="Grid Table 5 Dark"/>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9EBEF" w:themeColor="accent1" w:themeTint="34" w:fill="D9EBEF" w:themeFill="accent1" w:themeFillTint="34"/>
    </w:tblPr>
    <w:tblStylePr w:type="firstRow">
      <w:rPr>
        <w:rFonts w:ascii="Arial" w:hAnsi="Arial"/>
        <w:b/>
        <w:color w:val="FFFFFF"/>
        <w:sz w:val="22"/>
      </w:rPr>
      <w:tblPr/>
      <w:tcPr>
        <w:shd w:val="clear" w:color="4BA0AF" w:themeColor="accent1" w:fill="4BA0AF" w:themeFill="accent1"/>
      </w:tcPr>
    </w:tblStylePr>
    <w:tblStylePr w:type="lastRow">
      <w:rPr>
        <w:rFonts w:ascii="Arial" w:hAnsi="Arial"/>
        <w:b/>
        <w:color w:val="FFFFFF"/>
        <w:sz w:val="22"/>
      </w:rPr>
      <w:tblPr/>
      <w:tcPr>
        <w:tcBorders>
          <w:top w:val="single" w:sz="4" w:space="0" w:color="FFFFFF" w:themeColor="light1"/>
        </w:tcBorders>
        <w:shd w:val="clear" w:color="4BA0AF" w:themeColor="accent1" w:fill="4BA0AF" w:themeFill="accent1"/>
      </w:tcPr>
    </w:tblStylePr>
    <w:tblStylePr w:type="firstCol">
      <w:rPr>
        <w:rFonts w:ascii="Arial" w:hAnsi="Arial"/>
        <w:b/>
        <w:color w:val="FFFFFF"/>
        <w:sz w:val="22"/>
      </w:rPr>
      <w:tblPr/>
      <w:tcPr>
        <w:shd w:val="clear" w:color="4BA0AF" w:themeColor="accent1" w:fill="4BA0AF" w:themeFill="accent1"/>
      </w:tcPr>
    </w:tblStylePr>
    <w:tblStylePr w:type="lastCol">
      <w:rPr>
        <w:rFonts w:ascii="Arial" w:hAnsi="Arial"/>
        <w:b/>
        <w:color w:val="FFFFFF"/>
        <w:sz w:val="22"/>
      </w:rPr>
      <w:tblPr/>
      <w:tcPr>
        <w:shd w:val="clear" w:color="4BA0AF" w:themeColor="accent1" w:fill="4BA0AF" w:themeFill="accent1"/>
      </w:tcPr>
    </w:tblStylePr>
    <w:tblStylePr w:type="band1Vert">
      <w:tblPr/>
      <w:tcPr>
        <w:shd w:val="clear" w:color="ABD3DB" w:themeColor="accent1" w:themeTint="75" w:fill="ABD3DB" w:themeFill="accent1" w:themeFillTint="75"/>
      </w:tcPr>
    </w:tblStylePr>
    <w:tblStylePr w:type="band1Horz">
      <w:tblPr/>
      <w:tcPr>
        <w:shd w:val="clear" w:color="ABD3DB" w:themeColor="accent1" w:themeTint="75" w:fill="ABD3DB" w:themeFill="accent1" w:themeFillTint="75"/>
      </w:tcPr>
    </w:tblStylePr>
  </w:style>
  <w:style w:type="table" w:customStyle="1" w:styleId="GridTable5Dark-Accent21">
    <w:name w:val="Grid Table 5 Dark - Accent 2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C5E2" w:themeColor="accent2" w:themeTint="32" w:fill="FFC5E2" w:themeFill="accent2" w:themeFillTint="32"/>
    </w:tblPr>
    <w:tblStylePr w:type="firstRow">
      <w:rPr>
        <w:rFonts w:ascii="Arial" w:hAnsi="Arial"/>
        <w:b/>
        <w:color w:val="FFFFFF"/>
        <w:sz w:val="22"/>
      </w:rPr>
      <w:tblPr/>
      <w:tcPr>
        <w:shd w:val="clear" w:color="D7006E" w:themeColor="accent2" w:fill="D7006E" w:themeFill="accent2"/>
      </w:tcPr>
    </w:tblStylePr>
    <w:tblStylePr w:type="lastRow">
      <w:rPr>
        <w:rFonts w:ascii="Arial" w:hAnsi="Arial"/>
        <w:b/>
        <w:color w:val="FFFFFF"/>
        <w:sz w:val="22"/>
      </w:rPr>
      <w:tblPr/>
      <w:tcPr>
        <w:tcBorders>
          <w:top w:val="single" w:sz="4" w:space="0" w:color="FFFFFF" w:themeColor="light1"/>
        </w:tcBorders>
        <w:shd w:val="clear" w:color="D7006E" w:themeColor="accent2" w:fill="D7006E" w:themeFill="accent2"/>
      </w:tcPr>
    </w:tblStylePr>
    <w:tblStylePr w:type="firstCol">
      <w:rPr>
        <w:rFonts w:ascii="Arial" w:hAnsi="Arial"/>
        <w:b/>
        <w:color w:val="FFFFFF"/>
        <w:sz w:val="22"/>
      </w:rPr>
      <w:tblPr/>
      <w:tcPr>
        <w:shd w:val="clear" w:color="D7006E" w:themeColor="accent2" w:fill="D7006E" w:themeFill="accent2"/>
      </w:tcPr>
    </w:tblStylePr>
    <w:tblStylePr w:type="lastCol">
      <w:rPr>
        <w:rFonts w:ascii="Arial" w:hAnsi="Arial"/>
        <w:b/>
        <w:color w:val="FFFFFF"/>
        <w:sz w:val="22"/>
      </w:rPr>
      <w:tblPr/>
      <w:tcPr>
        <w:shd w:val="clear" w:color="D7006E" w:themeColor="accent2" w:fill="D7006E" w:themeFill="accent2"/>
      </w:tcPr>
    </w:tblStylePr>
    <w:tblStylePr w:type="band1Vert">
      <w:tblPr/>
      <w:tcPr>
        <w:shd w:val="clear" w:color="FF77BC" w:themeColor="accent2" w:themeTint="75" w:fill="FF77BC" w:themeFill="accent2" w:themeFillTint="75"/>
      </w:tcPr>
    </w:tblStylePr>
    <w:tblStylePr w:type="band1Horz">
      <w:tblPr/>
      <w:tcPr>
        <w:shd w:val="clear" w:color="FF77BC" w:themeColor="accent2" w:themeTint="75" w:fill="FF77BC" w:themeFill="accent2" w:themeFillTint="75"/>
      </w:tcPr>
    </w:tblStylePr>
  </w:style>
  <w:style w:type="table" w:customStyle="1" w:styleId="GridTable5Dark-Accent31">
    <w:name w:val="Grid Table 5 Dark - Accent 3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E3" w:themeColor="accent3" w:themeTint="34" w:fill="FDE9E3" w:themeFill="accent3" w:themeFillTint="34"/>
    </w:tblPr>
    <w:tblStylePr w:type="firstRow">
      <w:rPr>
        <w:rFonts w:ascii="Arial" w:hAnsi="Arial"/>
        <w:b/>
        <w:color w:val="FFFFFF"/>
        <w:sz w:val="22"/>
      </w:rPr>
      <w:tblPr/>
      <w:tcPr>
        <w:shd w:val="clear" w:color="F59678" w:themeColor="accent3" w:fill="F59678" w:themeFill="accent3"/>
      </w:tcPr>
    </w:tblStylePr>
    <w:tblStylePr w:type="lastRow">
      <w:rPr>
        <w:rFonts w:ascii="Arial" w:hAnsi="Arial"/>
        <w:b/>
        <w:color w:val="FFFFFF"/>
        <w:sz w:val="22"/>
      </w:rPr>
      <w:tblPr/>
      <w:tcPr>
        <w:tcBorders>
          <w:top w:val="single" w:sz="4" w:space="0" w:color="FFFFFF" w:themeColor="light1"/>
        </w:tcBorders>
        <w:shd w:val="clear" w:color="F59678" w:themeColor="accent3" w:fill="F59678" w:themeFill="accent3"/>
      </w:tcPr>
    </w:tblStylePr>
    <w:tblStylePr w:type="firstCol">
      <w:rPr>
        <w:rFonts w:ascii="Arial" w:hAnsi="Arial"/>
        <w:b/>
        <w:color w:val="FFFFFF"/>
        <w:sz w:val="22"/>
      </w:rPr>
      <w:tblPr/>
      <w:tcPr>
        <w:shd w:val="clear" w:color="F59678" w:themeColor="accent3" w:fill="F59678" w:themeFill="accent3"/>
      </w:tcPr>
    </w:tblStylePr>
    <w:tblStylePr w:type="lastCol">
      <w:rPr>
        <w:rFonts w:ascii="Arial" w:hAnsi="Arial"/>
        <w:b/>
        <w:color w:val="FFFFFF"/>
        <w:sz w:val="22"/>
      </w:rPr>
      <w:tblPr/>
      <w:tcPr>
        <w:shd w:val="clear" w:color="F59678" w:themeColor="accent3" w:fill="F59678" w:themeFill="accent3"/>
      </w:tcPr>
    </w:tblStylePr>
    <w:tblStylePr w:type="band1Vert">
      <w:tblPr/>
      <w:tcPr>
        <w:shd w:val="clear" w:color="FACEC0" w:themeColor="accent3" w:themeTint="75" w:fill="FACEC0" w:themeFill="accent3" w:themeFillTint="75"/>
      </w:tcPr>
    </w:tblStylePr>
    <w:tblStylePr w:type="band1Horz">
      <w:tblPr/>
      <w:tcPr>
        <w:shd w:val="clear" w:color="FACEC0" w:themeColor="accent3" w:themeTint="75" w:fill="FACEC0" w:themeFill="accent3" w:themeFillTint="75"/>
      </w:tcPr>
    </w:tblStylePr>
  </w:style>
  <w:style w:type="table" w:customStyle="1" w:styleId="GridTable5Dark-Accent4">
    <w:name w:val="Grid Table 5 Dark- Accent 4"/>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6C6CE" w:themeColor="accent4" w:themeTint="34" w:fill="F6C6CE" w:themeFill="accent4" w:themeFillTint="34"/>
    </w:tblPr>
    <w:tblStylePr w:type="firstRow">
      <w:rPr>
        <w:rFonts w:ascii="Arial" w:hAnsi="Arial"/>
        <w:b/>
        <w:color w:val="FFFFFF"/>
        <w:sz w:val="22"/>
      </w:rPr>
      <w:tblPr/>
      <w:tcPr>
        <w:shd w:val="clear" w:color="A51932" w:themeColor="accent4" w:fill="A51932" w:themeFill="accent4"/>
      </w:tcPr>
    </w:tblStylePr>
    <w:tblStylePr w:type="lastRow">
      <w:rPr>
        <w:rFonts w:ascii="Arial" w:hAnsi="Arial"/>
        <w:b/>
        <w:color w:val="FFFFFF"/>
        <w:sz w:val="22"/>
      </w:rPr>
      <w:tblPr/>
      <w:tcPr>
        <w:tcBorders>
          <w:top w:val="single" w:sz="4" w:space="0" w:color="FFFFFF" w:themeColor="light1"/>
        </w:tcBorders>
        <w:shd w:val="clear" w:color="A51932" w:themeColor="accent4" w:fill="A51932" w:themeFill="accent4"/>
      </w:tcPr>
    </w:tblStylePr>
    <w:tblStylePr w:type="firstCol">
      <w:rPr>
        <w:rFonts w:ascii="Arial" w:hAnsi="Arial"/>
        <w:b/>
        <w:color w:val="FFFFFF"/>
        <w:sz w:val="22"/>
      </w:rPr>
      <w:tblPr/>
      <w:tcPr>
        <w:shd w:val="clear" w:color="A51932" w:themeColor="accent4" w:fill="A51932" w:themeFill="accent4"/>
      </w:tcPr>
    </w:tblStylePr>
    <w:tblStylePr w:type="lastCol">
      <w:rPr>
        <w:rFonts w:ascii="Arial" w:hAnsi="Arial"/>
        <w:b/>
        <w:color w:val="FFFFFF"/>
        <w:sz w:val="22"/>
      </w:rPr>
      <w:tblPr/>
      <w:tcPr>
        <w:shd w:val="clear" w:color="A51932" w:themeColor="accent4" w:fill="A51932" w:themeFill="accent4"/>
      </w:tcPr>
    </w:tblStylePr>
    <w:tblStylePr w:type="band1Vert">
      <w:tblPr/>
      <w:tcPr>
        <w:shd w:val="clear" w:color="EB7F92" w:themeColor="accent4" w:themeTint="75" w:fill="EB7F92" w:themeFill="accent4" w:themeFillTint="75"/>
      </w:tcPr>
    </w:tblStylePr>
    <w:tblStylePr w:type="band1Horz">
      <w:tblPr/>
      <w:tcPr>
        <w:shd w:val="clear" w:color="EB7F92" w:themeColor="accent4" w:themeTint="75" w:fill="EB7F92" w:themeFill="accent4" w:themeFillTint="75"/>
      </w:tcPr>
    </w:tblStylePr>
  </w:style>
  <w:style w:type="table" w:customStyle="1" w:styleId="GridTable5Dark-Accent51">
    <w:name w:val="Grid Table 5 Dark - Accent 5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5E8FC" w:themeColor="accent5" w:themeTint="34" w:fill="B5E8FC" w:themeFill="accent5" w:themeFillTint="34"/>
    </w:tblPr>
    <w:tblStylePr w:type="firstRow">
      <w:rPr>
        <w:rFonts w:ascii="Arial" w:hAnsi="Arial"/>
        <w:b/>
        <w:color w:val="FFFFFF"/>
        <w:sz w:val="22"/>
      </w:rPr>
      <w:tblPr/>
      <w:tcPr>
        <w:shd w:val="clear" w:color="055F82" w:themeColor="accent5" w:fill="055F82" w:themeFill="accent5"/>
      </w:tcPr>
    </w:tblStylePr>
    <w:tblStylePr w:type="lastRow">
      <w:rPr>
        <w:rFonts w:ascii="Arial" w:hAnsi="Arial"/>
        <w:b/>
        <w:color w:val="FFFFFF"/>
        <w:sz w:val="22"/>
      </w:rPr>
      <w:tblPr/>
      <w:tcPr>
        <w:tcBorders>
          <w:top w:val="single" w:sz="4" w:space="0" w:color="FFFFFF" w:themeColor="light1"/>
        </w:tcBorders>
        <w:shd w:val="clear" w:color="055F82" w:themeColor="accent5" w:fill="055F82" w:themeFill="accent5"/>
      </w:tcPr>
    </w:tblStylePr>
    <w:tblStylePr w:type="firstCol">
      <w:rPr>
        <w:rFonts w:ascii="Arial" w:hAnsi="Arial"/>
        <w:b/>
        <w:color w:val="FFFFFF"/>
        <w:sz w:val="22"/>
      </w:rPr>
      <w:tblPr/>
      <w:tcPr>
        <w:shd w:val="clear" w:color="055F82" w:themeColor="accent5" w:fill="055F82" w:themeFill="accent5"/>
      </w:tcPr>
    </w:tblStylePr>
    <w:tblStylePr w:type="lastCol">
      <w:rPr>
        <w:rFonts w:ascii="Arial" w:hAnsi="Arial"/>
        <w:b/>
        <w:color w:val="FFFFFF"/>
        <w:sz w:val="22"/>
      </w:rPr>
      <w:tblPr/>
      <w:tcPr>
        <w:shd w:val="clear" w:color="055F82" w:themeColor="accent5" w:fill="055F82" w:themeFill="accent5"/>
      </w:tcPr>
    </w:tblStylePr>
    <w:tblStylePr w:type="band1Vert">
      <w:tblPr/>
      <w:tcPr>
        <w:shd w:val="clear" w:color="59CBF8" w:themeColor="accent5" w:themeTint="75" w:fill="59CBF8" w:themeFill="accent5" w:themeFillTint="75"/>
      </w:tcPr>
    </w:tblStylePr>
    <w:tblStylePr w:type="band1Horz">
      <w:tblPr/>
      <w:tcPr>
        <w:shd w:val="clear" w:color="59CBF8" w:themeColor="accent5" w:themeTint="75" w:fill="59CBF8" w:themeFill="accent5" w:themeFillTint="75"/>
      </w:tcPr>
    </w:tblStylePr>
  </w:style>
  <w:style w:type="table" w:customStyle="1" w:styleId="GridTable5Dark-Accent61">
    <w:name w:val="Grid Table 5 Dark - Accent 61"/>
    <w:basedOn w:val="Table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BCBCB" w:themeColor="accent6" w:themeTint="34" w:fill="CBCBCB" w:themeFill="accent6" w:themeFillTint="34"/>
    </w:tblPr>
    <w:tblStylePr w:type="firstRow">
      <w:rPr>
        <w:rFonts w:ascii="Arial" w:hAnsi="Arial"/>
        <w:b/>
        <w:color w:val="FFFFFF"/>
        <w:sz w:val="22"/>
      </w:rPr>
      <w:tblPr/>
      <w:tcPr>
        <w:shd w:val="clear" w:color="000000" w:themeColor="accent6" w:fill="000000" w:themeFill="accent6"/>
      </w:tcPr>
    </w:tblStylePr>
    <w:tblStylePr w:type="lastRow">
      <w:rPr>
        <w:rFonts w:ascii="Arial" w:hAnsi="Arial"/>
        <w:b/>
        <w:color w:val="FFFFFF"/>
        <w:sz w:val="22"/>
      </w:rPr>
      <w:tblPr/>
      <w:tcPr>
        <w:tcBorders>
          <w:top w:val="single" w:sz="4" w:space="0" w:color="FFFFFF" w:themeColor="light1"/>
        </w:tcBorders>
        <w:shd w:val="clear" w:color="000000" w:themeColor="accent6" w:fill="000000" w:themeFill="accent6"/>
      </w:tcPr>
    </w:tblStylePr>
    <w:tblStylePr w:type="firstCol">
      <w:rPr>
        <w:rFonts w:ascii="Arial" w:hAnsi="Arial"/>
        <w:b/>
        <w:color w:val="FFFFFF"/>
        <w:sz w:val="22"/>
      </w:rPr>
      <w:tblPr/>
      <w:tcPr>
        <w:shd w:val="clear" w:color="000000" w:themeColor="accent6" w:fill="000000" w:themeFill="accent6"/>
      </w:tcPr>
    </w:tblStylePr>
    <w:tblStylePr w:type="lastCol">
      <w:rPr>
        <w:rFonts w:ascii="Arial" w:hAnsi="Arial"/>
        <w:b/>
        <w:color w:val="FFFFFF"/>
        <w:sz w:val="22"/>
      </w:rPr>
      <w:tblPr/>
      <w:tcPr>
        <w:shd w:val="clear" w:color="000000" w:themeColor="accent6" w:fill="000000" w:themeFill="accent6"/>
      </w:tcPr>
    </w:tblStylePr>
    <w:tblStylePr w:type="band1Vert">
      <w:tblPr/>
      <w:tcPr>
        <w:shd w:val="clear" w:color="8A8A8A" w:themeColor="accent6" w:themeTint="75" w:fill="8A8A8A" w:themeFill="accent6" w:themeFillTint="75"/>
      </w:tcPr>
    </w:tblStylePr>
    <w:tblStylePr w:type="band1Horz">
      <w:tblPr/>
      <w:tcPr>
        <w:shd w:val="clear" w:color="8A8A8A" w:themeColor="accent6" w:themeTint="75" w:fill="8A8A8A" w:themeFill="accent6" w:themeFillTint="75"/>
      </w:tcPr>
    </w:tblStylePr>
  </w:style>
  <w:style w:type="table" w:styleId="GridTable6Colorful">
    <w:name w:val="Grid Table 6 Colorful"/>
    <w:basedOn w:val="Table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pPr>
      <w:spacing w:after="0" w:line="240" w:lineRule="auto"/>
    </w:pPr>
    <w:tblPr>
      <w:tblStyleRowBandSize w:val="1"/>
      <w:tblStyleColBandSize w:val="1"/>
      <w:tblBorders>
        <w:top w:val="single" w:sz="4" w:space="0" w:color="A3CFD7" w:themeColor="accent1" w:themeTint="80"/>
        <w:left w:val="single" w:sz="4" w:space="0" w:color="A3CFD7" w:themeColor="accent1" w:themeTint="80"/>
        <w:bottom w:val="single" w:sz="4" w:space="0" w:color="A3CFD7" w:themeColor="accent1" w:themeTint="80"/>
        <w:right w:val="single" w:sz="4" w:space="0" w:color="A3CFD7" w:themeColor="accent1" w:themeTint="80"/>
        <w:insideH w:val="single" w:sz="4" w:space="0" w:color="A3CFD7" w:themeColor="accent1" w:themeTint="80"/>
        <w:insideV w:val="single" w:sz="4" w:space="0" w:color="A3CFD7" w:themeColor="accent1" w:themeTint="80"/>
      </w:tblBorders>
    </w:tblPr>
    <w:tblStylePr w:type="firstRow">
      <w:rPr>
        <w:b/>
        <w:color w:val="A3CFD7" w:themeColor="accent1" w:themeTint="80" w:themeShade="95"/>
      </w:rPr>
      <w:tblPr/>
      <w:tcPr>
        <w:tcBorders>
          <w:bottom w:val="single" w:sz="12" w:space="0" w:color="A3CFD7" w:themeColor="accent1" w:themeTint="80"/>
        </w:tcBorders>
      </w:tcPr>
    </w:tblStylePr>
    <w:tblStylePr w:type="lastRow">
      <w:rPr>
        <w:b/>
        <w:color w:val="A3CFD7" w:themeColor="accent1" w:themeTint="80" w:themeShade="95"/>
      </w:rPr>
    </w:tblStylePr>
    <w:tblStylePr w:type="firstCol">
      <w:rPr>
        <w:b/>
        <w:color w:val="A3CFD7" w:themeColor="accent1" w:themeTint="80" w:themeShade="95"/>
      </w:rPr>
    </w:tblStylePr>
    <w:tblStylePr w:type="lastCol">
      <w:rPr>
        <w:b/>
        <w:color w:val="A3CFD7" w:themeColor="accent1" w:themeTint="80" w:themeShade="95"/>
      </w:rPr>
    </w:tblStylePr>
    <w:tblStylePr w:type="band1Vert">
      <w:tblPr/>
      <w:tcPr>
        <w:shd w:val="clear" w:color="D9EBEF" w:themeColor="accent1" w:themeTint="34" w:fill="D9EBEF" w:themeFill="accent1" w:themeFillTint="34"/>
      </w:tcPr>
    </w:tblStylePr>
    <w:tblStylePr w:type="band1Horz">
      <w:rPr>
        <w:rFonts w:ascii="Arial" w:hAnsi="Arial"/>
        <w:color w:val="A3CFD7" w:themeColor="accent1" w:themeTint="80" w:themeShade="95"/>
        <w:sz w:val="22"/>
      </w:rPr>
      <w:tblPr/>
      <w:tcPr>
        <w:shd w:val="clear" w:color="D9EBEF" w:themeColor="accent1" w:themeTint="34" w:fill="D9EBEF" w:themeFill="accent1" w:themeFillTint="34"/>
      </w:tcPr>
    </w:tblStylePr>
    <w:tblStylePr w:type="band2Horz">
      <w:rPr>
        <w:rFonts w:ascii="Arial" w:hAnsi="Arial"/>
        <w:color w:val="A3CFD7" w:themeColor="accent1" w:themeTint="80" w:themeShade="95"/>
        <w:sz w:val="22"/>
      </w:rPr>
    </w:tblStylePr>
  </w:style>
  <w:style w:type="table" w:customStyle="1" w:styleId="GridTable6Colorful-Accent21">
    <w:name w:val="Grid Table 6 Colorful - Accent 21"/>
    <w:basedOn w:val="TableNormal"/>
    <w:uiPriority w:val="99"/>
    <w:pPr>
      <w:spacing w:after="0" w:line="240" w:lineRule="auto"/>
    </w:pPr>
    <w:tblPr>
      <w:tblStyleRowBandSize w:val="1"/>
      <w:tblStyleColBandSize w:val="1"/>
      <w:tblBorders>
        <w:top w:val="single" w:sz="4" w:space="0" w:color="FF50A9" w:themeColor="accent2" w:themeTint="97"/>
        <w:left w:val="single" w:sz="4" w:space="0" w:color="FF50A9" w:themeColor="accent2" w:themeTint="97"/>
        <w:bottom w:val="single" w:sz="4" w:space="0" w:color="FF50A9" w:themeColor="accent2" w:themeTint="97"/>
        <w:right w:val="single" w:sz="4" w:space="0" w:color="FF50A9" w:themeColor="accent2" w:themeTint="97"/>
        <w:insideH w:val="single" w:sz="4" w:space="0" w:color="FF50A9" w:themeColor="accent2" w:themeTint="97"/>
        <w:insideV w:val="single" w:sz="4" w:space="0" w:color="FF50A9" w:themeColor="accent2" w:themeTint="97"/>
      </w:tblBorders>
    </w:tblPr>
    <w:tblStylePr w:type="firstRow">
      <w:rPr>
        <w:b/>
        <w:color w:val="FF50A9" w:themeColor="accent2" w:themeTint="97" w:themeShade="95"/>
      </w:rPr>
      <w:tblPr/>
      <w:tcPr>
        <w:tcBorders>
          <w:bottom w:val="single" w:sz="12" w:space="0" w:color="FF50A9" w:themeColor="accent2" w:themeTint="97"/>
        </w:tcBorders>
      </w:tcPr>
    </w:tblStylePr>
    <w:tblStylePr w:type="lastRow">
      <w:rPr>
        <w:b/>
        <w:color w:val="FF50A9" w:themeColor="accent2" w:themeTint="97" w:themeShade="95"/>
      </w:rPr>
    </w:tblStylePr>
    <w:tblStylePr w:type="firstCol">
      <w:rPr>
        <w:b/>
        <w:color w:val="FF50A9" w:themeColor="accent2" w:themeTint="97" w:themeShade="95"/>
      </w:rPr>
    </w:tblStylePr>
    <w:tblStylePr w:type="lastCol">
      <w:rPr>
        <w:b/>
        <w:color w:val="FF50A9" w:themeColor="accent2" w:themeTint="97" w:themeShade="95"/>
      </w:rPr>
    </w:tblStylePr>
    <w:tblStylePr w:type="band1Vert">
      <w:tblPr/>
      <w:tcPr>
        <w:shd w:val="clear" w:color="FFC5E2" w:themeColor="accent2" w:themeTint="32" w:fill="FFC5E2" w:themeFill="accent2" w:themeFillTint="32"/>
      </w:tcPr>
    </w:tblStylePr>
    <w:tblStylePr w:type="band1Horz">
      <w:rPr>
        <w:rFonts w:ascii="Arial" w:hAnsi="Arial"/>
        <w:color w:val="FF50A9" w:themeColor="accent2" w:themeTint="97" w:themeShade="95"/>
        <w:sz w:val="22"/>
      </w:rPr>
      <w:tblPr/>
      <w:tcPr>
        <w:shd w:val="clear" w:color="FFC5E2" w:themeColor="accent2" w:themeTint="32" w:fill="FFC5E2" w:themeFill="accent2" w:themeFillTint="32"/>
      </w:tcPr>
    </w:tblStylePr>
    <w:tblStylePr w:type="band2Horz">
      <w:rPr>
        <w:rFonts w:ascii="Arial" w:hAnsi="Arial"/>
        <w:color w:val="FF50A9" w:themeColor="accent2" w:themeTint="97" w:themeShade="95"/>
        <w:sz w:val="22"/>
      </w:rPr>
    </w:tblStylePr>
  </w:style>
  <w:style w:type="table" w:customStyle="1" w:styleId="GridTable6Colorful-Accent31">
    <w:name w:val="Grid Table 6 Colorful - Accent 31"/>
    <w:basedOn w:val="TableNormal"/>
    <w:uiPriority w:val="99"/>
    <w:pPr>
      <w:spacing w:after="0" w:line="240" w:lineRule="auto"/>
    </w:pPr>
    <w:tblPr>
      <w:tblStyleRowBandSize w:val="1"/>
      <w:tblStyleColBandSize w:val="1"/>
      <w:tblBorders>
        <w:top w:val="single" w:sz="4" w:space="0" w:color="F59678" w:themeColor="accent3" w:themeTint="FE"/>
        <w:left w:val="single" w:sz="4" w:space="0" w:color="F59678" w:themeColor="accent3" w:themeTint="FE"/>
        <w:bottom w:val="single" w:sz="4" w:space="0" w:color="F59678" w:themeColor="accent3" w:themeTint="FE"/>
        <w:right w:val="single" w:sz="4" w:space="0" w:color="F59678" w:themeColor="accent3" w:themeTint="FE"/>
        <w:insideH w:val="single" w:sz="4" w:space="0" w:color="F59678" w:themeColor="accent3" w:themeTint="FE"/>
        <w:insideV w:val="single" w:sz="4" w:space="0" w:color="F59678" w:themeColor="accent3" w:themeTint="FE"/>
      </w:tblBorders>
    </w:tblPr>
    <w:tblStylePr w:type="firstRow">
      <w:rPr>
        <w:b/>
        <w:color w:val="F59678" w:themeColor="accent3" w:themeTint="FE" w:themeShade="95"/>
      </w:rPr>
      <w:tblPr/>
      <w:tcPr>
        <w:tcBorders>
          <w:bottom w:val="single" w:sz="12" w:space="0" w:color="F59678" w:themeColor="accent3" w:themeTint="FE"/>
        </w:tcBorders>
      </w:tcPr>
    </w:tblStylePr>
    <w:tblStylePr w:type="lastRow">
      <w:rPr>
        <w:b/>
        <w:color w:val="F59678" w:themeColor="accent3" w:themeTint="FE" w:themeShade="95"/>
      </w:rPr>
    </w:tblStylePr>
    <w:tblStylePr w:type="firstCol">
      <w:rPr>
        <w:b/>
        <w:color w:val="F59678" w:themeColor="accent3" w:themeTint="FE" w:themeShade="95"/>
      </w:rPr>
    </w:tblStylePr>
    <w:tblStylePr w:type="lastCol">
      <w:rPr>
        <w:b/>
        <w:color w:val="F59678" w:themeColor="accent3" w:themeTint="FE" w:themeShade="95"/>
      </w:rPr>
    </w:tblStylePr>
    <w:tblStylePr w:type="band1Vert">
      <w:tblPr/>
      <w:tcPr>
        <w:shd w:val="clear" w:color="FDE9E3" w:themeColor="accent3" w:themeTint="34" w:fill="FDE9E3" w:themeFill="accent3" w:themeFillTint="34"/>
      </w:tcPr>
    </w:tblStylePr>
    <w:tblStylePr w:type="band1Horz">
      <w:rPr>
        <w:rFonts w:ascii="Arial" w:hAnsi="Arial"/>
        <w:color w:val="F59678" w:themeColor="accent3" w:themeTint="FE" w:themeShade="95"/>
        <w:sz w:val="22"/>
      </w:rPr>
      <w:tblPr/>
      <w:tcPr>
        <w:shd w:val="clear" w:color="FDE9E3" w:themeColor="accent3" w:themeTint="34" w:fill="FDE9E3" w:themeFill="accent3" w:themeFillTint="34"/>
      </w:tcPr>
    </w:tblStylePr>
    <w:tblStylePr w:type="band2Horz">
      <w:rPr>
        <w:rFonts w:ascii="Arial" w:hAnsi="Arial"/>
        <w:color w:val="F59678" w:themeColor="accent3" w:themeTint="FE" w:themeShade="95"/>
        <w:sz w:val="22"/>
      </w:rPr>
    </w:tblStylePr>
  </w:style>
  <w:style w:type="table" w:customStyle="1" w:styleId="GridTable6Colorful-Accent41">
    <w:name w:val="Grid Table 6 Colorful - Accent 41"/>
    <w:basedOn w:val="TableNormal"/>
    <w:uiPriority w:val="99"/>
    <w:pPr>
      <w:spacing w:after="0" w:line="240" w:lineRule="auto"/>
    </w:pPr>
    <w:tblPr>
      <w:tblStyleRowBandSize w:val="1"/>
      <w:tblStyleColBandSize w:val="1"/>
      <w:tblBorders>
        <w:top w:val="single" w:sz="4" w:space="0" w:color="E55770" w:themeColor="accent4" w:themeTint="9A"/>
        <w:left w:val="single" w:sz="4" w:space="0" w:color="E55770" w:themeColor="accent4" w:themeTint="9A"/>
        <w:bottom w:val="single" w:sz="4" w:space="0" w:color="E55770" w:themeColor="accent4" w:themeTint="9A"/>
        <w:right w:val="single" w:sz="4" w:space="0" w:color="E55770" w:themeColor="accent4" w:themeTint="9A"/>
        <w:insideH w:val="single" w:sz="4" w:space="0" w:color="E55770" w:themeColor="accent4" w:themeTint="9A"/>
        <w:insideV w:val="single" w:sz="4" w:space="0" w:color="E55770" w:themeColor="accent4" w:themeTint="9A"/>
      </w:tblBorders>
    </w:tblPr>
    <w:tblStylePr w:type="firstRow">
      <w:rPr>
        <w:b/>
        <w:color w:val="E55770" w:themeColor="accent4" w:themeTint="9A" w:themeShade="95"/>
      </w:rPr>
      <w:tblPr/>
      <w:tcPr>
        <w:tcBorders>
          <w:bottom w:val="single" w:sz="12" w:space="0" w:color="E55770" w:themeColor="accent4" w:themeTint="9A"/>
        </w:tcBorders>
      </w:tcPr>
    </w:tblStylePr>
    <w:tblStylePr w:type="lastRow">
      <w:rPr>
        <w:b/>
        <w:color w:val="E55770" w:themeColor="accent4" w:themeTint="9A" w:themeShade="95"/>
      </w:rPr>
    </w:tblStylePr>
    <w:tblStylePr w:type="firstCol">
      <w:rPr>
        <w:b/>
        <w:color w:val="E55770" w:themeColor="accent4" w:themeTint="9A" w:themeShade="95"/>
      </w:rPr>
    </w:tblStylePr>
    <w:tblStylePr w:type="lastCol">
      <w:rPr>
        <w:b/>
        <w:color w:val="E55770" w:themeColor="accent4" w:themeTint="9A" w:themeShade="95"/>
      </w:rPr>
    </w:tblStylePr>
    <w:tblStylePr w:type="band1Vert">
      <w:tblPr/>
      <w:tcPr>
        <w:shd w:val="clear" w:color="F6C6CE" w:themeColor="accent4" w:themeTint="34" w:fill="F6C6CE" w:themeFill="accent4" w:themeFillTint="34"/>
      </w:tcPr>
    </w:tblStylePr>
    <w:tblStylePr w:type="band1Horz">
      <w:rPr>
        <w:rFonts w:ascii="Arial" w:hAnsi="Arial"/>
        <w:color w:val="E55770" w:themeColor="accent4" w:themeTint="9A" w:themeShade="95"/>
        <w:sz w:val="22"/>
      </w:rPr>
      <w:tblPr/>
      <w:tcPr>
        <w:shd w:val="clear" w:color="F6C6CE" w:themeColor="accent4" w:themeTint="34" w:fill="F6C6CE" w:themeFill="accent4" w:themeFillTint="34"/>
      </w:tcPr>
    </w:tblStylePr>
    <w:tblStylePr w:type="band2Horz">
      <w:rPr>
        <w:rFonts w:ascii="Arial" w:hAnsi="Arial"/>
        <w:color w:val="E55770" w:themeColor="accent4" w:themeTint="9A" w:themeShade="95"/>
        <w:sz w:val="22"/>
      </w:rPr>
    </w:tblStylePr>
  </w:style>
  <w:style w:type="table" w:customStyle="1" w:styleId="GridTable6Colorful-Accent51">
    <w:name w:val="Grid Table 6 Colorful - Accent 51"/>
    <w:basedOn w:val="TableNormal"/>
    <w:uiPriority w:val="99"/>
    <w:pPr>
      <w:spacing w:after="0" w:line="240" w:lineRule="auto"/>
    </w:pPr>
    <w:tblPr>
      <w:tblStyleRowBandSize w:val="1"/>
      <w:tblStyleColBandSize w:val="1"/>
      <w:tblBorders>
        <w:top w:val="single" w:sz="4" w:space="0" w:color="055F82" w:themeColor="accent5"/>
        <w:left w:val="single" w:sz="4" w:space="0" w:color="055F82" w:themeColor="accent5"/>
        <w:bottom w:val="single" w:sz="4" w:space="0" w:color="055F82" w:themeColor="accent5"/>
        <w:right w:val="single" w:sz="4" w:space="0" w:color="055F82" w:themeColor="accent5"/>
        <w:insideH w:val="single" w:sz="4" w:space="0" w:color="055F82" w:themeColor="accent5"/>
        <w:insideV w:val="single" w:sz="4" w:space="0" w:color="055F82" w:themeColor="accent5"/>
      </w:tblBorders>
    </w:tblPr>
    <w:tblStylePr w:type="firstRow">
      <w:rPr>
        <w:b/>
        <w:color w:val="03374B" w:themeColor="accent5" w:themeShade="95"/>
      </w:rPr>
      <w:tblPr/>
      <w:tcPr>
        <w:tcBorders>
          <w:bottom w:val="single" w:sz="12" w:space="0" w:color="055F82" w:themeColor="accent5"/>
        </w:tcBorders>
      </w:tcPr>
    </w:tblStylePr>
    <w:tblStylePr w:type="lastRow">
      <w:rPr>
        <w:b/>
        <w:color w:val="03374B" w:themeColor="accent5" w:themeShade="95"/>
      </w:rPr>
    </w:tblStylePr>
    <w:tblStylePr w:type="firstCol">
      <w:rPr>
        <w:b/>
        <w:color w:val="03374B" w:themeColor="accent5" w:themeShade="95"/>
      </w:rPr>
    </w:tblStylePr>
    <w:tblStylePr w:type="lastCol">
      <w:rPr>
        <w:b/>
        <w:color w:val="03374B" w:themeColor="accent5" w:themeShade="95"/>
      </w:rPr>
    </w:tblStylePr>
    <w:tblStylePr w:type="band1Vert">
      <w:tblPr/>
      <w:tcPr>
        <w:shd w:val="clear" w:color="B5E8FC" w:themeColor="accent5" w:themeTint="34" w:fill="B5E8FC" w:themeFill="accent5" w:themeFillTint="34"/>
      </w:tcPr>
    </w:tblStylePr>
    <w:tblStylePr w:type="band1Horz">
      <w:rPr>
        <w:rFonts w:ascii="Arial" w:hAnsi="Arial"/>
        <w:color w:val="03374B" w:themeColor="accent5" w:themeShade="95"/>
        <w:sz w:val="22"/>
      </w:rPr>
      <w:tblPr/>
      <w:tcPr>
        <w:shd w:val="clear" w:color="B5E8FC" w:themeColor="accent5" w:themeTint="34" w:fill="B5E8FC" w:themeFill="accent5" w:themeFillTint="34"/>
      </w:tcPr>
    </w:tblStylePr>
    <w:tblStylePr w:type="band2Horz">
      <w:rPr>
        <w:rFonts w:ascii="Arial" w:hAnsi="Arial"/>
        <w:color w:val="03374B" w:themeColor="accent5" w:themeShade="95"/>
        <w:sz w:val="22"/>
      </w:rPr>
    </w:tblStylePr>
  </w:style>
  <w:style w:type="table" w:customStyle="1" w:styleId="GridTable6Colorful-Accent61">
    <w:name w:val="Grid Table 6 Colorful - Accent 61"/>
    <w:basedOn w:val="TableNormal"/>
    <w:uiPriority w:val="99"/>
    <w:pPr>
      <w:spacing w:after="0" w:line="240" w:lineRule="auto"/>
    </w:pPr>
    <w:tblPr>
      <w:tblStyleRowBandSize w:val="1"/>
      <w:tblStyleColBandSize w:val="1"/>
      <w:tblBorders>
        <w:top w:val="single" w:sz="4" w:space="0" w:color="000000" w:themeColor="accent6"/>
        <w:left w:val="single" w:sz="4" w:space="0" w:color="000000" w:themeColor="accent6"/>
        <w:bottom w:val="single" w:sz="4" w:space="0" w:color="000000" w:themeColor="accent6"/>
        <w:right w:val="single" w:sz="4" w:space="0" w:color="000000" w:themeColor="accent6"/>
        <w:insideH w:val="single" w:sz="4" w:space="0" w:color="000000" w:themeColor="accent6"/>
        <w:insideV w:val="single" w:sz="4" w:space="0" w:color="000000" w:themeColor="accent6"/>
      </w:tblBorders>
    </w:tblPr>
    <w:tblStylePr w:type="firstRow">
      <w:rPr>
        <w:b/>
        <w:color w:val="03374B" w:themeColor="accent5" w:themeShade="95"/>
      </w:rPr>
      <w:tblPr/>
      <w:tcPr>
        <w:tcBorders>
          <w:bottom w:val="single" w:sz="12" w:space="0" w:color="000000" w:themeColor="accent6"/>
        </w:tcBorders>
      </w:tcPr>
    </w:tblStylePr>
    <w:tblStylePr w:type="lastRow">
      <w:rPr>
        <w:b/>
        <w:color w:val="03374B" w:themeColor="accent5" w:themeShade="95"/>
      </w:rPr>
    </w:tblStylePr>
    <w:tblStylePr w:type="firstCol">
      <w:rPr>
        <w:b/>
        <w:color w:val="03374B" w:themeColor="accent5" w:themeShade="95"/>
      </w:rPr>
    </w:tblStylePr>
    <w:tblStylePr w:type="lastCol">
      <w:rPr>
        <w:b/>
        <w:color w:val="03374B" w:themeColor="accent5" w:themeShade="95"/>
      </w:rPr>
    </w:tblStylePr>
    <w:tblStylePr w:type="band1Vert">
      <w:tblPr/>
      <w:tcPr>
        <w:shd w:val="clear" w:color="CBCBCB" w:themeColor="accent6" w:themeTint="34" w:fill="CBCBCB" w:themeFill="accent6" w:themeFillTint="34"/>
      </w:tcPr>
    </w:tblStylePr>
    <w:tblStylePr w:type="band1Horz">
      <w:rPr>
        <w:rFonts w:ascii="Arial" w:hAnsi="Arial"/>
        <w:color w:val="03374B" w:themeColor="accent5" w:themeShade="95"/>
        <w:sz w:val="22"/>
      </w:rPr>
      <w:tblPr/>
      <w:tcPr>
        <w:shd w:val="clear" w:color="CBCBCB" w:themeColor="accent6" w:themeTint="34" w:fill="CBCBCB" w:themeFill="accent6" w:themeFillTint="34"/>
      </w:tcPr>
    </w:tblStylePr>
    <w:tblStylePr w:type="band2Horz">
      <w:rPr>
        <w:rFonts w:ascii="Arial" w:hAnsi="Arial"/>
        <w:color w:val="03374B" w:themeColor="accent5" w:themeShade="95"/>
        <w:sz w:val="22"/>
      </w:rPr>
    </w:tblStylePr>
  </w:style>
  <w:style w:type="table" w:styleId="GridTable7Colorful">
    <w:name w:val="Grid Table 7 Colorful"/>
    <w:basedOn w:val="Table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pPr>
      <w:spacing w:after="0" w:line="240" w:lineRule="auto"/>
    </w:pPr>
    <w:tblPr>
      <w:tblStyleRowBandSize w:val="1"/>
      <w:tblStyleColBandSize w:val="1"/>
      <w:tblBorders>
        <w:bottom w:val="single" w:sz="4" w:space="0" w:color="A3CFD7" w:themeColor="accent1" w:themeTint="80"/>
        <w:right w:val="single" w:sz="4" w:space="0" w:color="A3CFD7" w:themeColor="accent1" w:themeTint="80"/>
        <w:insideH w:val="single" w:sz="4" w:space="0" w:color="A3CFD7" w:themeColor="accent1" w:themeTint="80"/>
        <w:insideV w:val="single" w:sz="4" w:space="0" w:color="A3CFD7" w:themeColor="accent1" w:themeTint="80"/>
      </w:tblBorders>
    </w:tblPr>
    <w:tblStylePr w:type="firstRow">
      <w:rPr>
        <w:rFonts w:ascii="Arial" w:hAnsi="Arial"/>
        <w:b/>
        <w:color w:val="A3CFD7" w:themeColor="accent1" w:themeTint="80" w:themeShade="95"/>
        <w:sz w:val="22"/>
      </w:rPr>
      <w:tblPr/>
      <w:tcPr>
        <w:tcBorders>
          <w:top w:val="none" w:sz="0" w:space="0" w:color="000000"/>
          <w:left w:val="none" w:sz="0" w:space="0" w:color="000000"/>
          <w:bottom w:val="single" w:sz="4" w:space="0" w:color="A3CFD7" w:themeColor="accent1" w:themeTint="80"/>
          <w:right w:val="none" w:sz="0" w:space="0" w:color="000000"/>
        </w:tcBorders>
        <w:shd w:val="clear" w:color="FFFFFF" w:themeColor="light1" w:fill="FFFFFF" w:themeFill="light1"/>
      </w:tcPr>
    </w:tblStylePr>
    <w:tblStylePr w:type="lastRow">
      <w:rPr>
        <w:rFonts w:ascii="Arial" w:hAnsi="Arial"/>
        <w:b/>
        <w:color w:val="A3CFD7" w:themeColor="accent1" w:themeTint="80" w:themeShade="95"/>
        <w:sz w:val="22"/>
      </w:rPr>
      <w:tblPr/>
      <w:tcPr>
        <w:tcBorders>
          <w:top w:val="single" w:sz="4" w:space="0" w:color="A3CFD7"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3CFD7" w:themeColor="accent1" w:themeTint="80" w:themeShade="95"/>
        <w:sz w:val="22"/>
      </w:rPr>
      <w:tblPr/>
      <w:tcPr>
        <w:tcBorders>
          <w:top w:val="none" w:sz="0" w:space="0" w:color="000000"/>
          <w:left w:val="none" w:sz="0" w:space="0" w:color="000000"/>
          <w:bottom w:val="none" w:sz="0" w:space="0" w:color="000000"/>
          <w:right w:val="single" w:sz="4" w:space="0" w:color="A3CFD7" w:themeColor="accent1" w:themeTint="80"/>
        </w:tcBorders>
        <w:shd w:val="clear" w:color="FFFFFF" w:fill="auto"/>
      </w:tcPr>
    </w:tblStylePr>
    <w:tblStylePr w:type="lastCol">
      <w:rPr>
        <w:rFonts w:ascii="Arial" w:hAnsi="Arial"/>
        <w:i/>
        <w:color w:val="A3CFD7" w:themeColor="accent1" w:themeTint="80" w:themeShade="95"/>
        <w:sz w:val="22"/>
      </w:rPr>
      <w:tblPr/>
      <w:tcPr>
        <w:tcBorders>
          <w:top w:val="none" w:sz="0" w:space="0" w:color="000000"/>
          <w:left w:val="single" w:sz="4" w:space="0" w:color="A3CFD7" w:themeColor="accent1" w:themeTint="80"/>
          <w:bottom w:val="none" w:sz="0" w:space="0" w:color="000000"/>
          <w:right w:val="none" w:sz="0" w:space="0" w:color="000000"/>
        </w:tcBorders>
        <w:shd w:val="clear" w:color="FFFFFF" w:fill="auto"/>
      </w:tcPr>
    </w:tblStylePr>
    <w:tblStylePr w:type="band1Vert">
      <w:tblPr/>
      <w:tcPr>
        <w:shd w:val="clear" w:color="D9EBEF" w:themeColor="accent1" w:themeTint="34" w:fill="D9EBEF" w:themeFill="accent1" w:themeFillTint="34"/>
      </w:tcPr>
    </w:tblStylePr>
    <w:tblStylePr w:type="band1Horz">
      <w:rPr>
        <w:rFonts w:ascii="Arial" w:hAnsi="Arial"/>
        <w:color w:val="A3CFD7" w:themeColor="accent1" w:themeTint="80" w:themeShade="95"/>
        <w:sz w:val="22"/>
      </w:rPr>
      <w:tblPr/>
      <w:tcPr>
        <w:shd w:val="clear" w:color="D9EBEF" w:themeColor="accent1" w:themeTint="34" w:fill="D9EBEF" w:themeFill="accent1" w:themeFillTint="34"/>
      </w:tcPr>
    </w:tblStylePr>
    <w:tblStylePr w:type="band2Horz">
      <w:rPr>
        <w:rFonts w:ascii="Arial" w:hAnsi="Arial"/>
        <w:color w:val="A3CFD7" w:themeColor="accent1" w:themeTint="80" w:themeShade="95"/>
        <w:sz w:val="22"/>
      </w:rPr>
    </w:tblStylePr>
  </w:style>
  <w:style w:type="table" w:customStyle="1" w:styleId="GridTable7Colorful-Accent21">
    <w:name w:val="Grid Table 7 Colorful - Accent 21"/>
    <w:basedOn w:val="TableNormal"/>
    <w:uiPriority w:val="99"/>
    <w:pPr>
      <w:spacing w:after="0" w:line="240" w:lineRule="auto"/>
    </w:pPr>
    <w:tblPr>
      <w:tblStyleRowBandSize w:val="1"/>
      <w:tblStyleColBandSize w:val="1"/>
      <w:tblBorders>
        <w:bottom w:val="single" w:sz="4" w:space="0" w:color="FF50A9" w:themeColor="accent2" w:themeTint="97"/>
        <w:right w:val="single" w:sz="4" w:space="0" w:color="FF50A9" w:themeColor="accent2" w:themeTint="97"/>
        <w:insideH w:val="single" w:sz="4" w:space="0" w:color="FF50A9" w:themeColor="accent2" w:themeTint="97"/>
        <w:insideV w:val="single" w:sz="4" w:space="0" w:color="FF50A9" w:themeColor="accent2" w:themeTint="97"/>
      </w:tblBorders>
    </w:tblPr>
    <w:tblStylePr w:type="firstRow">
      <w:rPr>
        <w:rFonts w:ascii="Arial" w:hAnsi="Arial"/>
        <w:b/>
        <w:color w:val="FF50A9" w:themeColor="accent2" w:themeTint="97" w:themeShade="95"/>
        <w:sz w:val="22"/>
      </w:rPr>
      <w:tblPr/>
      <w:tcPr>
        <w:tcBorders>
          <w:top w:val="none" w:sz="0" w:space="0" w:color="000000"/>
          <w:left w:val="none" w:sz="0" w:space="0" w:color="000000"/>
          <w:bottom w:val="single" w:sz="4" w:space="0" w:color="FF50A9" w:themeColor="accent2" w:themeTint="97"/>
          <w:right w:val="none" w:sz="0" w:space="0" w:color="000000"/>
        </w:tcBorders>
        <w:shd w:val="clear" w:color="FFFFFF" w:themeColor="light1" w:fill="FFFFFF" w:themeFill="light1"/>
      </w:tcPr>
    </w:tblStylePr>
    <w:tblStylePr w:type="lastRow">
      <w:rPr>
        <w:rFonts w:ascii="Arial" w:hAnsi="Arial"/>
        <w:b/>
        <w:color w:val="FF50A9" w:themeColor="accent2" w:themeTint="97" w:themeShade="95"/>
        <w:sz w:val="22"/>
      </w:rPr>
      <w:tblPr/>
      <w:tcPr>
        <w:tcBorders>
          <w:top w:val="single" w:sz="4" w:space="0" w:color="FF50A9"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50A9" w:themeColor="accent2" w:themeTint="97" w:themeShade="95"/>
        <w:sz w:val="22"/>
      </w:rPr>
      <w:tblPr/>
      <w:tcPr>
        <w:tcBorders>
          <w:top w:val="none" w:sz="0" w:space="0" w:color="000000"/>
          <w:left w:val="none" w:sz="0" w:space="0" w:color="000000"/>
          <w:bottom w:val="none" w:sz="0" w:space="0" w:color="000000"/>
          <w:right w:val="single" w:sz="4" w:space="0" w:color="FF50A9" w:themeColor="accent2" w:themeTint="97"/>
        </w:tcBorders>
        <w:shd w:val="clear" w:color="FFFFFF" w:fill="auto"/>
      </w:tcPr>
    </w:tblStylePr>
    <w:tblStylePr w:type="lastCol">
      <w:rPr>
        <w:rFonts w:ascii="Arial" w:hAnsi="Arial"/>
        <w:i/>
        <w:color w:val="FF50A9" w:themeColor="accent2" w:themeTint="97" w:themeShade="95"/>
        <w:sz w:val="22"/>
      </w:rPr>
      <w:tblPr/>
      <w:tcPr>
        <w:tcBorders>
          <w:top w:val="none" w:sz="0" w:space="0" w:color="000000"/>
          <w:left w:val="single" w:sz="4" w:space="0" w:color="FF50A9" w:themeColor="accent2" w:themeTint="97"/>
          <w:bottom w:val="none" w:sz="0" w:space="0" w:color="000000"/>
          <w:right w:val="none" w:sz="0" w:space="0" w:color="000000"/>
        </w:tcBorders>
        <w:shd w:val="clear" w:color="FFFFFF" w:fill="auto"/>
      </w:tcPr>
    </w:tblStylePr>
    <w:tblStylePr w:type="band1Vert">
      <w:tblPr/>
      <w:tcPr>
        <w:shd w:val="clear" w:color="FFC5E2" w:themeColor="accent2" w:themeTint="32" w:fill="FFC5E2" w:themeFill="accent2" w:themeFillTint="32"/>
      </w:tcPr>
    </w:tblStylePr>
    <w:tblStylePr w:type="band1Horz">
      <w:rPr>
        <w:rFonts w:ascii="Arial" w:hAnsi="Arial"/>
        <w:color w:val="FF50A9" w:themeColor="accent2" w:themeTint="97" w:themeShade="95"/>
        <w:sz w:val="22"/>
      </w:rPr>
      <w:tblPr/>
      <w:tcPr>
        <w:shd w:val="clear" w:color="FFC5E2" w:themeColor="accent2" w:themeTint="32" w:fill="FFC5E2" w:themeFill="accent2" w:themeFillTint="32"/>
      </w:tcPr>
    </w:tblStylePr>
    <w:tblStylePr w:type="band2Horz">
      <w:rPr>
        <w:rFonts w:ascii="Arial" w:hAnsi="Arial"/>
        <w:color w:val="FF50A9" w:themeColor="accent2" w:themeTint="97" w:themeShade="95"/>
        <w:sz w:val="22"/>
      </w:rPr>
    </w:tblStylePr>
  </w:style>
  <w:style w:type="table" w:customStyle="1" w:styleId="GridTable7Colorful-Accent31">
    <w:name w:val="Grid Table 7 Colorful - Accent 31"/>
    <w:basedOn w:val="TableNormal"/>
    <w:uiPriority w:val="99"/>
    <w:pPr>
      <w:spacing w:after="0" w:line="240" w:lineRule="auto"/>
    </w:pPr>
    <w:tblPr>
      <w:tblStyleRowBandSize w:val="1"/>
      <w:tblStyleColBandSize w:val="1"/>
      <w:tblBorders>
        <w:bottom w:val="single" w:sz="4" w:space="0" w:color="F59678" w:themeColor="accent3" w:themeTint="FE"/>
        <w:right w:val="single" w:sz="4" w:space="0" w:color="F59678" w:themeColor="accent3" w:themeTint="FE"/>
        <w:insideH w:val="single" w:sz="4" w:space="0" w:color="F59678" w:themeColor="accent3" w:themeTint="FE"/>
        <w:insideV w:val="single" w:sz="4" w:space="0" w:color="F59678" w:themeColor="accent3" w:themeTint="FE"/>
      </w:tblBorders>
    </w:tblPr>
    <w:tblStylePr w:type="firstRow">
      <w:rPr>
        <w:rFonts w:ascii="Arial" w:hAnsi="Arial"/>
        <w:b/>
        <w:color w:val="F59678" w:themeColor="accent3" w:themeTint="FE" w:themeShade="95"/>
        <w:sz w:val="22"/>
      </w:rPr>
      <w:tblPr/>
      <w:tcPr>
        <w:tcBorders>
          <w:top w:val="none" w:sz="0" w:space="0" w:color="000000"/>
          <w:left w:val="none" w:sz="0" w:space="0" w:color="000000"/>
          <w:bottom w:val="single" w:sz="4" w:space="0" w:color="F59678" w:themeColor="accent3" w:themeTint="FE"/>
          <w:right w:val="none" w:sz="0" w:space="0" w:color="000000"/>
        </w:tcBorders>
        <w:shd w:val="clear" w:color="FFFFFF" w:themeColor="light1" w:fill="FFFFFF" w:themeFill="light1"/>
      </w:tcPr>
    </w:tblStylePr>
    <w:tblStylePr w:type="lastRow">
      <w:rPr>
        <w:rFonts w:ascii="Arial" w:hAnsi="Arial"/>
        <w:b/>
        <w:color w:val="F59678" w:themeColor="accent3" w:themeTint="FE" w:themeShade="95"/>
        <w:sz w:val="22"/>
      </w:rPr>
      <w:tblPr/>
      <w:tcPr>
        <w:tcBorders>
          <w:top w:val="single" w:sz="4" w:space="0" w:color="F59678"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59678" w:themeColor="accent3" w:themeTint="FE" w:themeShade="95"/>
        <w:sz w:val="22"/>
      </w:rPr>
      <w:tblPr/>
      <w:tcPr>
        <w:tcBorders>
          <w:top w:val="none" w:sz="0" w:space="0" w:color="000000"/>
          <w:left w:val="none" w:sz="0" w:space="0" w:color="000000"/>
          <w:bottom w:val="none" w:sz="0" w:space="0" w:color="000000"/>
          <w:right w:val="single" w:sz="4" w:space="0" w:color="F59678" w:themeColor="accent3" w:themeTint="FE"/>
        </w:tcBorders>
        <w:shd w:val="clear" w:color="FFFFFF" w:fill="auto"/>
      </w:tcPr>
    </w:tblStylePr>
    <w:tblStylePr w:type="lastCol">
      <w:rPr>
        <w:rFonts w:ascii="Arial" w:hAnsi="Arial"/>
        <w:i/>
        <w:color w:val="F59678" w:themeColor="accent3" w:themeTint="FE" w:themeShade="95"/>
        <w:sz w:val="22"/>
      </w:rPr>
      <w:tblPr/>
      <w:tcPr>
        <w:tcBorders>
          <w:top w:val="none" w:sz="0" w:space="0" w:color="000000"/>
          <w:left w:val="single" w:sz="4" w:space="0" w:color="F59678" w:themeColor="accent3" w:themeTint="FE"/>
          <w:bottom w:val="none" w:sz="0" w:space="0" w:color="000000"/>
          <w:right w:val="none" w:sz="0" w:space="0" w:color="000000"/>
        </w:tcBorders>
        <w:shd w:val="clear" w:color="FFFFFF" w:fill="auto"/>
      </w:tcPr>
    </w:tblStylePr>
    <w:tblStylePr w:type="band1Vert">
      <w:tblPr/>
      <w:tcPr>
        <w:shd w:val="clear" w:color="FDE9E3" w:themeColor="accent3" w:themeTint="34" w:fill="FDE9E3" w:themeFill="accent3" w:themeFillTint="34"/>
      </w:tcPr>
    </w:tblStylePr>
    <w:tblStylePr w:type="band1Horz">
      <w:rPr>
        <w:rFonts w:ascii="Arial" w:hAnsi="Arial"/>
        <w:color w:val="F59678" w:themeColor="accent3" w:themeTint="FE" w:themeShade="95"/>
        <w:sz w:val="22"/>
      </w:rPr>
      <w:tblPr/>
      <w:tcPr>
        <w:shd w:val="clear" w:color="FDE9E3" w:themeColor="accent3" w:themeTint="34" w:fill="FDE9E3" w:themeFill="accent3" w:themeFillTint="34"/>
      </w:tcPr>
    </w:tblStylePr>
    <w:tblStylePr w:type="band2Horz">
      <w:rPr>
        <w:rFonts w:ascii="Arial" w:hAnsi="Arial"/>
        <w:color w:val="F59678" w:themeColor="accent3" w:themeTint="FE" w:themeShade="95"/>
        <w:sz w:val="22"/>
      </w:rPr>
    </w:tblStylePr>
  </w:style>
  <w:style w:type="table" w:customStyle="1" w:styleId="GridTable7Colorful-Accent41">
    <w:name w:val="Grid Table 7 Colorful - Accent 41"/>
    <w:basedOn w:val="TableNormal"/>
    <w:uiPriority w:val="99"/>
    <w:pPr>
      <w:spacing w:after="0" w:line="240" w:lineRule="auto"/>
    </w:pPr>
    <w:tblPr>
      <w:tblStyleRowBandSize w:val="1"/>
      <w:tblStyleColBandSize w:val="1"/>
      <w:tblBorders>
        <w:bottom w:val="single" w:sz="4" w:space="0" w:color="E55770" w:themeColor="accent4" w:themeTint="9A"/>
        <w:right w:val="single" w:sz="4" w:space="0" w:color="E55770" w:themeColor="accent4" w:themeTint="9A"/>
        <w:insideH w:val="single" w:sz="4" w:space="0" w:color="E55770" w:themeColor="accent4" w:themeTint="9A"/>
        <w:insideV w:val="single" w:sz="4" w:space="0" w:color="E55770" w:themeColor="accent4" w:themeTint="9A"/>
      </w:tblBorders>
    </w:tblPr>
    <w:tblStylePr w:type="firstRow">
      <w:rPr>
        <w:rFonts w:ascii="Arial" w:hAnsi="Arial"/>
        <w:b/>
        <w:color w:val="E55770" w:themeColor="accent4" w:themeTint="9A" w:themeShade="95"/>
        <w:sz w:val="22"/>
      </w:rPr>
      <w:tblPr/>
      <w:tcPr>
        <w:tcBorders>
          <w:top w:val="none" w:sz="0" w:space="0" w:color="000000"/>
          <w:left w:val="none" w:sz="0" w:space="0" w:color="000000"/>
          <w:bottom w:val="single" w:sz="4" w:space="0" w:color="E55770" w:themeColor="accent4" w:themeTint="9A"/>
          <w:right w:val="none" w:sz="0" w:space="0" w:color="000000"/>
        </w:tcBorders>
        <w:shd w:val="clear" w:color="FFFFFF" w:themeColor="light1" w:fill="FFFFFF" w:themeFill="light1"/>
      </w:tcPr>
    </w:tblStylePr>
    <w:tblStylePr w:type="lastRow">
      <w:rPr>
        <w:rFonts w:ascii="Arial" w:hAnsi="Arial"/>
        <w:b/>
        <w:color w:val="E55770" w:themeColor="accent4" w:themeTint="9A" w:themeShade="95"/>
        <w:sz w:val="22"/>
      </w:rPr>
      <w:tblPr/>
      <w:tcPr>
        <w:tcBorders>
          <w:top w:val="single" w:sz="4" w:space="0" w:color="E55770"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E55770" w:themeColor="accent4" w:themeTint="9A" w:themeShade="95"/>
        <w:sz w:val="22"/>
      </w:rPr>
      <w:tblPr/>
      <w:tcPr>
        <w:tcBorders>
          <w:top w:val="none" w:sz="0" w:space="0" w:color="000000"/>
          <w:left w:val="none" w:sz="0" w:space="0" w:color="000000"/>
          <w:bottom w:val="none" w:sz="0" w:space="0" w:color="000000"/>
          <w:right w:val="single" w:sz="4" w:space="0" w:color="E55770" w:themeColor="accent4" w:themeTint="9A"/>
        </w:tcBorders>
        <w:shd w:val="clear" w:color="FFFFFF" w:fill="auto"/>
      </w:tcPr>
    </w:tblStylePr>
    <w:tblStylePr w:type="lastCol">
      <w:rPr>
        <w:rFonts w:ascii="Arial" w:hAnsi="Arial"/>
        <w:i/>
        <w:color w:val="E55770" w:themeColor="accent4" w:themeTint="9A" w:themeShade="95"/>
        <w:sz w:val="22"/>
      </w:rPr>
      <w:tblPr/>
      <w:tcPr>
        <w:tcBorders>
          <w:top w:val="none" w:sz="0" w:space="0" w:color="000000"/>
          <w:left w:val="single" w:sz="4" w:space="0" w:color="E55770" w:themeColor="accent4" w:themeTint="9A"/>
          <w:bottom w:val="none" w:sz="0" w:space="0" w:color="000000"/>
          <w:right w:val="none" w:sz="0" w:space="0" w:color="000000"/>
        </w:tcBorders>
        <w:shd w:val="clear" w:color="FFFFFF" w:fill="auto"/>
      </w:tcPr>
    </w:tblStylePr>
    <w:tblStylePr w:type="band1Vert">
      <w:tblPr/>
      <w:tcPr>
        <w:shd w:val="clear" w:color="F6C6CE" w:themeColor="accent4" w:themeTint="34" w:fill="F6C6CE" w:themeFill="accent4" w:themeFillTint="34"/>
      </w:tcPr>
    </w:tblStylePr>
    <w:tblStylePr w:type="band1Horz">
      <w:rPr>
        <w:rFonts w:ascii="Arial" w:hAnsi="Arial"/>
        <w:color w:val="E55770" w:themeColor="accent4" w:themeTint="9A" w:themeShade="95"/>
        <w:sz w:val="22"/>
      </w:rPr>
      <w:tblPr/>
      <w:tcPr>
        <w:shd w:val="clear" w:color="F6C6CE" w:themeColor="accent4" w:themeTint="34" w:fill="F6C6CE" w:themeFill="accent4" w:themeFillTint="34"/>
      </w:tcPr>
    </w:tblStylePr>
    <w:tblStylePr w:type="band2Horz">
      <w:rPr>
        <w:rFonts w:ascii="Arial" w:hAnsi="Arial"/>
        <w:color w:val="E55770" w:themeColor="accent4" w:themeTint="9A" w:themeShade="95"/>
        <w:sz w:val="22"/>
      </w:rPr>
    </w:tblStylePr>
  </w:style>
  <w:style w:type="table" w:customStyle="1" w:styleId="GridTable7Colorful-Accent51">
    <w:name w:val="Grid Table 7 Colorful - Accent 51"/>
    <w:basedOn w:val="TableNormal"/>
    <w:uiPriority w:val="99"/>
    <w:pPr>
      <w:spacing w:after="0" w:line="240" w:lineRule="auto"/>
    </w:pPr>
    <w:tblPr>
      <w:tblStyleRowBandSize w:val="1"/>
      <w:tblStyleColBandSize w:val="1"/>
      <w:tblBorders>
        <w:bottom w:val="single" w:sz="4" w:space="0" w:color="32BFF7" w:themeColor="accent5" w:themeTint="90"/>
        <w:right w:val="single" w:sz="4" w:space="0" w:color="32BFF7" w:themeColor="accent5" w:themeTint="90"/>
        <w:insideH w:val="single" w:sz="4" w:space="0" w:color="32BFF7" w:themeColor="accent5" w:themeTint="90"/>
        <w:insideV w:val="single" w:sz="4" w:space="0" w:color="32BFF7" w:themeColor="accent5" w:themeTint="90"/>
      </w:tblBorders>
    </w:tblPr>
    <w:tblStylePr w:type="firstRow">
      <w:rPr>
        <w:rFonts w:ascii="Arial" w:hAnsi="Arial"/>
        <w:b/>
        <w:color w:val="03374B" w:themeColor="accent5" w:themeShade="95"/>
        <w:sz w:val="22"/>
      </w:rPr>
      <w:tblPr/>
      <w:tcPr>
        <w:tcBorders>
          <w:top w:val="none" w:sz="0" w:space="0" w:color="000000"/>
          <w:left w:val="none" w:sz="0" w:space="0" w:color="000000"/>
          <w:bottom w:val="single" w:sz="4" w:space="0" w:color="32BFF7" w:themeColor="accent5" w:themeTint="90"/>
          <w:right w:val="none" w:sz="0" w:space="0" w:color="000000"/>
        </w:tcBorders>
        <w:shd w:val="clear" w:color="FFFFFF" w:themeColor="light1" w:fill="FFFFFF" w:themeFill="light1"/>
      </w:tcPr>
    </w:tblStylePr>
    <w:tblStylePr w:type="lastRow">
      <w:rPr>
        <w:rFonts w:ascii="Arial" w:hAnsi="Arial"/>
        <w:b/>
        <w:color w:val="03374B" w:themeColor="accent5" w:themeShade="95"/>
        <w:sz w:val="22"/>
      </w:rPr>
      <w:tblPr/>
      <w:tcPr>
        <w:tcBorders>
          <w:top w:val="single" w:sz="4" w:space="0" w:color="32BFF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03374B" w:themeColor="accent5" w:themeShade="95"/>
        <w:sz w:val="22"/>
      </w:rPr>
      <w:tblPr/>
      <w:tcPr>
        <w:tcBorders>
          <w:top w:val="none" w:sz="0" w:space="0" w:color="000000"/>
          <w:left w:val="none" w:sz="0" w:space="0" w:color="000000"/>
          <w:bottom w:val="none" w:sz="0" w:space="0" w:color="000000"/>
          <w:right w:val="single" w:sz="4" w:space="0" w:color="32BFF7" w:themeColor="accent5" w:themeTint="90"/>
        </w:tcBorders>
        <w:shd w:val="clear" w:color="FFFFFF" w:fill="auto"/>
      </w:tcPr>
    </w:tblStylePr>
    <w:tblStylePr w:type="lastCol">
      <w:rPr>
        <w:rFonts w:ascii="Arial" w:hAnsi="Arial"/>
        <w:i/>
        <w:color w:val="03374B" w:themeColor="accent5" w:themeShade="95"/>
        <w:sz w:val="22"/>
      </w:rPr>
      <w:tblPr/>
      <w:tcPr>
        <w:tcBorders>
          <w:top w:val="none" w:sz="0" w:space="0" w:color="000000"/>
          <w:left w:val="single" w:sz="4" w:space="0" w:color="32BFF7" w:themeColor="accent5" w:themeTint="90"/>
          <w:bottom w:val="none" w:sz="0" w:space="0" w:color="000000"/>
          <w:right w:val="none" w:sz="0" w:space="0" w:color="000000"/>
        </w:tcBorders>
        <w:shd w:val="clear" w:color="FFFFFF" w:fill="auto"/>
      </w:tcPr>
    </w:tblStylePr>
    <w:tblStylePr w:type="band1Vert">
      <w:tblPr/>
      <w:tcPr>
        <w:shd w:val="clear" w:color="B5E8FC" w:themeColor="accent5" w:themeTint="34" w:fill="B5E8FC" w:themeFill="accent5" w:themeFillTint="34"/>
      </w:tcPr>
    </w:tblStylePr>
    <w:tblStylePr w:type="band1Horz">
      <w:rPr>
        <w:rFonts w:ascii="Arial" w:hAnsi="Arial"/>
        <w:color w:val="03374B" w:themeColor="accent5" w:themeShade="95"/>
        <w:sz w:val="22"/>
      </w:rPr>
      <w:tblPr/>
      <w:tcPr>
        <w:shd w:val="clear" w:color="B5E8FC" w:themeColor="accent5" w:themeTint="34" w:fill="B5E8FC" w:themeFill="accent5" w:themeFillTint="34"/>
      </w:tcPr>
    </w:tblStylePr>
    <w:tblStylePr w:type="band2Horz">
      <w:rPr>
        <w:rFonts w:ascii="Arial" w:hAnsi="Arial"/>
        <w:color w:val="03374B" w:themeColor="accent5" w:themeShade="95"/>
        <w:sz w:val="22"/>
      </w:rPr>
    </w:tblStylePr>
  </w:style>
  <w:style w:type="table" w:customStyle="1" w:styleId="GridTable7Colorful-Accent61">
    <w:name w:val="Grid Table 7 Colorful - Accent 61"/>
    <w:basedOn w:val="TableNormal"/>
    <w:uiPriority w:val="99"/>
    <w:pPr>
      <w:spacing w:after="0" w:line="240" w:lineRule="auto"/>
    </w:pPr>
    <w:tblPr>
      <w:tblStyleRowBandSize w:val="1"/>
      <w:tblStyleColBandSize w:val="1"/>
      <w:tblBorders>
        <w:bottom w:val="single" w:sz="4" w:space="0" w:color="6F6F6F" w:themeColor="accent6" w:themeTint="90"/>
        <w:right w:val="single" w:sz="4" w:space="0" w:color="6F6F6F" w:themeColor="accent6" w:themeTint="90"/>
        <w:insideH w:val="single" w:sz="4" w:space="0" w:color="6F6F6F" w:themeColor="accent6" w:themeTint="90"/>
        <w:insideV w:val="single" w:sz="4" w:space="0" w:color="6F6F6F" w:themeColor="accent6" w:themeTint="90"/>
      </w:tblBorders>
    </w:tblPr>
    <w:tblStylePr w:type="firstRow">
      <w:rPr>
        <w:rFonts w:ascii="Arial" w:hAnsi="Arial"/>
        <w:b/>
        <w:color w:val="000000" w:themeColor="accent6" w:themeShade="95"/>
        <w:sz w:val="22"/>
      </w:rPr>
      <w:tblPr/>
      <w:tcPr>
        <w:tcBorders>
          <w:top w:val="none" w:sz="0" w:space="0" w:color="000000"/>
          <w:left w:val="none" w:sz="0" w:space="0" w:color="000000"/>
          <w:bottom w:val="single" w:sz="4" w:space="0" w:color="6F6F6F" w:themeColor="accent6" w:themeTint="90"/>
          <w:right w:val="none" w:sz="0" w:space="0" w:color="000000"/>
        </w:tcBorders>
        <w:shd w:val="clear" w:color="FFFFFF" w:themeColor="light1" w:fill="FFFFFF" w:themeFill="light1"/>
      </w:tcPr>
    </w:tblStylePr>
    <w:tblStylePr w:type="lastRow">
      <w:rPr>
        <w:rFonts w:ascii="Arial" w:hAnsi="Arial"/>
        <w:b/>
        <w:color w:val="000000" w:themeColor="accent6" w:themeShade="95"/>
        <w:sz w:val="22"/>
      </w:rPr>
      <w:tblPr/>
      <w:tcPr>
        <w:tcBorders>
          <w:top w:val="single" w:sz="4" w:space="0" w:color="6F6F6F"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000000" w:themeColor="accent6" w:themeShade="95"/>
        <w:sz w:val="22"/>
      </w:rPr>
      <w:tblPr/>
      <w:tcPr>
        <w:tcBorders>
          <w:top w:val="none" w:sz="0" w:space="0" w:color="000000"/>
          <w:left w:val="none" w:sz="0" w:space="0" w:color="000000"/>
          <w:bottom w:val="none" w:sz="0" w:space="0" w:color="000000"/>
          <w:right w:val="single" w:sz="4" w:space="0" w:color="6F6F6F" w:themeColor="accent6" w:themeTint="90"/>
        </w:tcBorders>
        <w:shd w:val="clear" w:color="FFFFFF" w:fill="auto"/>
      </w:tcPr>
    </w:tblStylePr>
    <w:tblStylePr w:type="lastCol">
      <w:rPr>
        <w:rFonts w:ascii="Arial" w:hAnsi="Arial"/>
        <w:i/>
        <w:color w:val="000000" w:themeColor="accent6" w:themeShade="95"/>
        <w:sz w:val="22"/>
      </w:rPr>
      <w:tblPr/>
      <w:tcPr>
        <w:tcBorders>
          <w:top w:val="none" w:sz="0" w:space="0" w:color="000000"/>
          <w:left w:val="single" w:sz="4" w:space="0" w:color="6F6F6F" w:themeColor="accent6" w:themeTint="90"/>
          <w:bottom w:val="none" w:sz="0" w:space="0" w:color="000000"/>
          <w:right w:val="none" w:sz="0" w:space="0" w:color="000000"/>
        </w:tcBorders>
        <w:shd w:val="clear" w:color="FFFFFF" w:fill="auto"/>
      </w:tcPr>
    </w:tblStylePr>
    <w:tblStylePr w:type="band1Vert">
      <w:tblPr/>
      <w:tcPr>
        <w:shd w:val="clear" w:color="CBCBCB" w:themeColor="accent6" w:themeTint="34" w:fill="CBCBCB" w:themeFill="accent6" w:themeFillTint="34"/>
      </w:tcPr>
    </w:tblStylePr>
    <w:tblStylePr w:type="band1Horz">
      <w:rPr>
        <w:rFonts w:ascii="Arial" w:hAnsi="Arial"/>
        <w:color w:val="000000" w:themeColor="accent6" w:themeShade="95"/>
        <w:sz w:val="22"/>
      </w:rPr>
      <w:tblPr/>
      <w:tcPr>
        <w:shd w:val="clear" w:color="CBCBCB" w:themeColor="accent6" w:themeTint="34" w:fill="CBCBCB" w:themeFill="accent6" w:themeFillTint="34"/>
      </w:tcPr>
    </w:tblStylePr>
    <w:tblStylePr w:type="band2Horz">
      <w:rPr>
        <w:rFonts w:ascii="Arial" w:hAnsi="Arial"/>
        <w:color w:val="000000" w:themeColor="accent6" w:themeShade="95"/>
        <w:sz w:val="22"/>
      </w:rPr>
    </w:tblStylePr>
  </w:style>
  <w:style w:type="table" w:styleId="ListTable1Light">
    <w:name w:val="List Table 1 Light"/>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1">
    <w:name w:val="List Table 1 Light - Accent 1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0AF" w:themeColor="accent1"/>
          <w:right w:val="none" w:sz="4" w:space="0" w:color="000000"/>
        </w:tcBorders>
      </w:tcPr>
    </w:tblStylePr>
    <w:tblStylePr w:type="lastRow">
      <w:rPr>
        <w:b/>
        <w:color w:val="404040"/>
      </w:rPr>
      <w:tblPr/>
      <w:tcPr>
        <w:tcBorders>
          <w:top w:val="single" w:sz="4" w:space="0" w:color="4BA0AF"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7EB" w:themeColor="accent1" w:themeTint="40" w:fill="D1E7EB" w:themeFill="accent1" w:themeFillTint="40"/>
      </w:tcPr>
    </w:tblStylePr>
    <w:tblStylePr w:type="band1Horz">
      <w:tblPr/>
      <w:tcPr>
        <w:shd w:val="clear" w:color="D1E7EB" w:themeColor="accent1" w:themeTint="40" w:fill="D1E7EB" w:themeFill="accent1" w:themeFillTint="40"/>
      </w:tcPr>
    </w:tblStylePr>
  </w:style>
  <w:style w:type="table" w:customStyle="1" w:styleId="ListTable1Light-Accent21">
    <w:name w:val="List Table 1 Light - Accent 2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D7006E" w:themeColor="accent2"/>
          <w:right w:val="none" w:sz="4" w:space="0" w:color="000000"/>
        </w:tcBorders>
      </w:tcPr>
    </w:tblStylePr>
    <w:tblStylePr w:type="lastRow">
      <w:rPr>
        <w:b/>
        <w:color w:val="404040"/>
      </w:rPr>
      <w:tblPr/>
      <w:tcPr>
        <w:tcBorders>
          <w:top w:val="single" w:sz="4" w:space="0" w:color="D7006E"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B4DA" w:themeColor="accent2" w:themeTint="40" w:fill="FFB4DA" w:themeFill="accent2" w:themeFillTint="40"/>
      </w:tcPr>
    </w:tblStylePr>
    <w:tblStylePr w:type="band1Horz">
      <w:tblPr/>
      <w:tcPr>
        <w:shd w:val="clear" w:color="FFB4DA" w:themeColor="accent2" w:themeTint="40" w:fill="FFB4DA" w:themeFill="accent2" w:themeFillTint="40"/>
      </w:tcPr>
    </w:tblStylePr>
  </w:style>
  <w:style w:type="table" w:customStyle="1" w:styleId="ListTable1Light-Accent31">
    <w:name w:val="List Table 1 Light - Accent 3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59678" w:themeColor="accent3"/>
          <w:right w:val="none" w:sz="4" w:space="0" w:color="000000"/>
        </w:tcBorders>
      </w:tcPr>
    </w:tblStylePr>
    <w:tblStylePr w:type="lastRow">
      <w:rPr>
        <w:b/>
        <w:color w:val="404040"/>
      </w:rPr>
      <w:tblPr/>
      <w:tcPr>
        <w:tcBorders>
          <w:top w:val="single" w:sz="4" w:space="0" w:color="F59678"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CE4DC" w:themeColor="accent3" w:themeTint="40" w:fill="FCE4DC" w:themeFill="accent3" w:themeFillTint="40"/>
      </w:tcPr>
    </w:tblStylePr>
    <w:tblStylePr w:type="band1Horz">
      <w:tblPr/>
      <w:tcPr>
        <w:shd w:val="clear" w:color="FCE4DC" w:themeColor="accent3" w:themeTint="40" w:fill="FCE4DC" w:themeFill="accent3" w:themeFillTint="40"/>
      </w:tcPr>
    </w:tblStylePr>
  </w:style>
  <w:style w:type="table" w:customStyle="1" w:styleId="ListTable1Light-Accent41">
    <w:name w:val="List Table 1 Light - Accent 4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1932" w:themeColor="accent4"/>
          <w:right w:val="none" w:sz="4" w:space="0" w:color="000000"/>
        </w:tcBorders>
      </w:tcPr>
    </w:tblStylePr>
    <w:tblStylePr w:type="lastRow">
      <w:rPr>
        <w:b/>
        <w:color w:val="404040"/>
      </w:rPr>
      <w:tblPr/>
      <w:tcPr>
        <w:tcBorders>
          <w:top w:val="single" w:sz="4" w:space="0" w:color="A5193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4B9C3" w:themeColor="accent4" w:themeTint="40" w:fill="F4B9C3" w:themeFill="accent4" w:themeFillTint="40"/>
      </w:tcPr>
    </w:tblStylePr>
    <w:tblStylePr w:type="band1Horz">
      <w:tblPr/>
      <w:tcPr>
        <w:shd w:val="clear" w:color="F4B9C3" w:themeColor="accent4" w:themeTint="40" w:fill="F4B9C3" w:themeFill="accent4" w:themeFillTint="40"/>
      </w:tcPr>
    </w:tblStylePr>
  </w:style>
  <w:style w:type="table" w:customStyle="1" w:styleId="ListTable1Light-Accent51">
    <w:name w:val="List Table 1 Light - Accent 5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55F82" w:themeColor="accent5"/>
          <w:right w:val="none" w:sz="4" w:space="0" w:color="000000"/>
        </w:tcBorders>
      </w:tcPr>
    </w:tblStylePr>
    <w:tblStylePr w:type="lastRow">
      <w:rPr>
        <w:b/>
        <w:color w:val="404040"/>
      </w:rPr>
      <w:tblPr/>
      <w:tcPr>
        <w:tcBorders>
          <w:top w:val="single" w:sz="4" w:space="0" w:color="055F82"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4E2FB" w:themeColor="accent5" w:themeTint="40" w:fill="A4E2FB" w:themeFill="accent5" w:themeFillTint="40"/>
      </w:tcPr>
    </w:tblStylePr>
    <w:tblStylePr w:type="band1Horz">
      <w:tblPr/>
      <w:tcPr>
        <w:shd w:val="clear" w:color="A4E2FB" w:themeColor="accent5" w:themeTint="40" w:fill="A4E2FB" w:themeFill="accent5" w:themeFillTint="40"/>
      </w:tcPr>
    </w:tblStylePr>
  </w:style>
  <w:style w:type="table" w:customStyle="1" w:styleId="ListTable1Light-Accent61">
    <w:name w:val="List Table 1 Light - Accent 61"/>
    <w:basedOn w:val="Table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accent6"/>
          <w:right w:val="none" w:sz="4" w:space="0" w:color="000000"/>
        </w:tcBorders>
      </w:tcPr>
    </w:tblStylePr>
    <w:tblStylePr w:type="lastRow">
      <w:rPr>
        <w:b/>
        <w:color w:val="404040"/>
      </w:rPr>
      <w:tblPr/>
      <w:tcPr>
        <w:tcBorders>
          <w:top w:val="single" w:sz="4" w:space="0" w:color="000000"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accent6" w:themeTint="40" w:fill="BFBFBF" w:themeFill="accent6" w:themeFillTint="40"/>
      </w:tcPr>
    </w:tblStylePr>
    <w:tblStylePr w:type="band1Horz">
      <w:tblPr/>
      <w:tcPr>
        <w:shd w:val="clear" w:color="BFBFBF" w:themeColor="accent6" w:themeTint="40" w:fill="BFBFBF" w:themeFill="accent6" w:themeFillTint="40"/>
      </w:tcPr>
    </w:tblStylePr>
  </w:style>
  <w:style w:type="table" w:styleId="ListTable2">
    <w:name w:val="List Table 2"/>
    <w:basedOn w:val="Table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1">
    <w:name w:val="List Table 2 - Accent 11"/>
    <w:basedOn w:val="TableNormal"/>
    <w:uiPriority w:val="99"/>
    <w:pPr>
      <w:spacing w:after="0" w:line="240" w:lineRule="auto"/>
    </w:pPr>
    <w:tblPr>
      <w:tblStyleRowBandSize w:val="1"/>
      <w:tblStyleColBandSize w:val="1"/>
      <w:tblBorders>
        <w:top w:val="single" w:sz="4" w:space="0" w:color="98C9D3" w:themeColor="accent1" w:themeTint="90"/>
        <w:bottom w:val="single" w:sz="4" w:space="0" w:color="98C9D3" w:themeColor="accent1" w:themeTint="90"/>
        <w:insideH w:val="single" w:sz="4" w:space="0" w:color="98C9D3" w:themeColor="accent1" w:themeTint="90"/>
      </w:tblBorders>
    </w:tblPr>
    <w:tblStylePr w:type="firstRow">
      <w:rPr>
        <w:rFonts w:ascii="Arial" w:hAnsi="Arial"/>
        <w:b/>
        <w:color w:val="404040"/>
        <w:sz w:val="22"/>
      </w:rPr>
      <w:tblPr/>
      <w:tcPr>
        <w:tcBorders>
          <w:top w:val="single" w:sz="4" w:space="0" w:color="98C9D3" w:themeColor="accent1" w:themeTint="90"/>
          <w:left w:val="none" w:sz="4" w:space="0" w:color="000000"/>
          <w:bottom w:val="single" w:sz="4" w:space="0" w:color="98C9D3" w:themeColor="accent1" w:themeTint="90"/>
          <w:right w:val="none" w:sz="4" w:space="0" w:color="000000"/>
        </w:tcBorders>
      </w:tcPr>
    </w:tblStylePr>
    <w:tblStylePr w:type="lastRow">
      <w:rPr>
        <w:rFonts w:ascii="Arial" w:hAnsi="Arial"/>
        <w:b/>
        <w:color w:val="404040"/>
        <w:sz w:val="22"/>
      </w:rPr>
      <w:tblPr/>
      <w:tcPr>
        <w:tcBorders>
          <w:top w:val="single" w:sz="4" w:space="0" w:color="98C9D3" w:themeColor="accent1" w:themeTint="90"/>
          <w:left w:val="none" w:sz="4" w:space="0" w:color="000000"/>
          <w:bottom w:val="single" w:sz="4" w:space="0" w:color="98C9D3"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7EB" w:themeColor="accent1" w:themeTint="40" w:fill="D1E7EB" w:themeFill="accent1" w:themeFillTint="40"/>
      </w:tcPr>
    </w:tblStylePr>
    <w:tblStylePr w:type="band1Horz">
      <w:rPr>
        <w:rFonts w:ascii="Arial" w:hAnsi="Arial"/>
        <w:color w:val="404040"/>
        <w:sz w:val="22"/>
      </w:rPr>
      <w:tblPr/>
      <w:tcPr>
        <w:shd w:val="clear" w:color="D1E7EB" w:themeColor="accent1" w:themeTint="40" w:fill="D1E7EB" w:themeFill="accent1" w:themeFillTint="40"/>
      </w:tcPr>
    </w:tblStylePr>
  </w:style>
  <w:style w:type="table" w:customStyle="1" w:styleId="ListTable2-Accent21">
    <w:name w:val="List Table 2 - Accent 21"/>
    <w:basedOn w:val="TableNormal"/>
    <w:uiPriority w:val="99"/>
    <w:pPr>
      <w:spacing w:after="0" w:line="240" w:lineRule="auto"/>
    </w:pPr>
    <w:tblPr>
      <w:tblStyleRowBandSize w:val="1"/>
      <w:tblStyleColBandSize w:val="1"/>
      <w:tblBorders>
        <w:top w:val="single" w:sz="4" w:space="0" w:color="FF58AD" w:themeColor="accent2" w:themeTint="90"/>
        <w:bottom w:val="single" w:sz="4" w:space="0" w:color="FF58AD" w:themeColor="accent2" w:themeTint="90"/>
        <w:insideH w:val="single" w:sz="4" w:space="0" w:color="FF58AD" w:themeColor="accent2" w:themeTint="90"/>
      </w:tblBorders>
    </w:tblPr>
    <w:tblStylePr w:type="firstRow">
      <w:rPr>
        <w:rFonts w:ascii="Arial" w:hAnsi="Arial"/>
        <w:b/>
        <w:color w:val="404040"/>
        <w:sz w:val="22"/>
      </w:rPr>
      <w:tblPr/>
      <w:tcPr>
        <w:tcBorders>
          <w:top w:val="single" w:sz="4" w:space="0" w:color="FF58AD" w:themeColor="accent2" w:themeTint="90"/>
          <w:left w:val="none" w:sz="4" w:space="0" w:color="000000"/>
          <w:bottom w:val="single" w:sz="4" w:space="0" w:color="FF58AD" w:themeColor="accent2" w:themeTint="90"/>
          <w:right w:val="none" w:sz="4" w:space="0" w:color="000000"/>
        </w:tcBorders>
      </w:tcPr>
    </w:tblStylePr>
    <w:tblStylePr w:type="lastRow">
      <w:rPr>
        <w:rFonts w:ascii="Arial" w:hAnsi="Arial"/>
        <w:b/>
        <w:color w:val="404040"/>
        <w:sz w:val="22"/>
      </w:rPr>
      <w:tblPr/>
      <w:tcPr>
        <w:tcBorders>
          <w:top w:val="single" w:sz="4" w:space="0" w:color="FF58AD" w:themeColor="accent2" w:themeTint="90"/>
          <w:left w:val="none" w:sz="4" w:space="0" w:color="000000"/>
          <w:bottom w:val="single" w:sz="4" w:space="0" w:color="FF58AD"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B4DA" w:themeColor="accent2" w:themeTint="40" w:fill="FFB4DA" w:themeFill="accent2" w:themeFillTint="40"/>
      </w:tcPr>
    </w:tblStylePr>
    <w:tblStylePr w:type="band1Horz">
      <w:rPr>
        <w:rFonts w:ascii="Arial" w:hAnsi="Arial"/>
        <w:color w:val="404040"/>
        <w:sz w:val="22"/>
      </w:rPr>
      <w:tblPr/>
      <w:tcPr>
        <w:shd w:val="clear" w:color="FFB4DA" w:themeColor="accent2" w:themeTint="40" w:fill="FFB4DA" w:themeFill="accent2" w:themeFillTint="40"/>
      </w:tcPr>
    </w:tblStylePr>
  </w:style>
  <w:style w:type="table" w:customStyle="1" w:styleId="ListTable2-Accent31">
    <w:name w:val="List Table 2 - Accent 31"/>
    <w:basedOn w:val="TableNormal"/>
    <w:uiPriority w:val="99"/>
    <w:pPr>
      <w:spacing w:after="0" w:line="240" w:lineRule="auto"/>
    </w:pPr>
    <w:tblPr>
      <w:tblStyleRowBandSize w:val="1"/>
      <w:tblStyleColBandSize w:val="1"/>
      <w:tblBorders>
        <w:top w:val="single" w:sz="4" w:space="0" w:color="F9C3B2" w:themeColor="accent3" w:themeTint="90"/>
        <w:bottom w:val="single" w:sz="4" w:space="0" w:color="F9C3B2" w:themeColor="accent3" w:themeTint="90"/>
        <w:insideH w:val="single" w:sz="4" w:space="0" w:color="F9C3B2" w:themeColor="accent3" w:themeTint="90"/>
      </w:tblBorders>
    </w:tblPr>
    <w:tblStylePr w:type="firstRow">
      <w:rPr>
        <w:rFonts w:ascii="Arial" w:hAnsi="Arial"/>
        <w:b/>
        <w:color w:val="404040"/>
        <w:sz w:val="22"/>
      </w:rPr>
      <w:tblPr/>
      <w:tcPr>
        <w:tcBorders>
          <w:top w:val="single" w:sz="4" w:space="0" w:color="F9C3B2" w:themeColor="accent3" w:themeTint="90"/>
          <w:left w:val="none" w:sz="4" w:space="0" w:color="000000"/>
          <w:bottom w:val="single" w:sz="4" w:space="0" w:color="F9C3B2" w:themeColor="accent3" w:themeTint="90"/>
          <w:right w:val="none" w:sz="4" w:space="0" w:color="000000"/>
        </w:tcBorders>
      </w:tcPr>
    </w:tblStylePr>
    <w:tblStylePr w:type="lastRow">
      <w:rPr>
        <w:rFonts w:ascii="Arial" w:hAnsi="Arial"/>
        <w:b/>
        <w:color w:val="404040"/>
        <w:sz w:val="22"/>
      </w:rPr>
      <w:tblPr/>
      <w:tcPr>
        <w:tcBorders>
          <w:top w:val="single" w:sz="4" w:space="0" w:color="F9C3B2" w:themeColor="accent3" w:themeTint="90"/>
          <w:left w:val="none" w:sz="4" w:space="0" w:color="000000"/>
          <w:bottom w:val="single" w:sz="4" w:space="0" w:color="F9C3B2"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CE4DC" w:themeColor="accent3" w:themeTint="40" w:fill="FCE4DC" w:themeFill="accent3" w:themeFillTint="40"/>
      </w:tcPr>
    </w:tblStylePr>
    <w:tblStylePr w:type="band1Horz">
      <w:rPr>
        <w:rFonts w:ascii="Arial" w:hAnsi="Arial"/>
        <w:color w:val="404040"/>
        <w:sz w:val="22"/>
      </w:rPr>
      <w:tblPr/>
      <w:tcPr>
        <w:shd w:val="clear" w:color="FCE4DC" w:themeColor="accent3" w:themeTint="40" w:fill="FCE4DC" w:themeFill="accent3" w:themeFillTint="40"/>
      </w:tcPr>
    </w:tblStylePr>
  </w:style>
  <w:style w:type="table" w:customStyle="1" w:styleId="ListTable2-Accent41">
    <w:name w:val="List Table 2 - Accent 41"/>
    <w:basedOn w:val="TableNormal"/>
    <w:uiPriority w:val="99"/>
    <w:pPr>
      <w:spacing w:after="0" w:line="240" w:lineRule="auto"/>
    </w:pPr>
    <w:tblPr>
      <w:tblStyleRowBandSize w:val="1"/>
      <w:tblStyleColBandSize w:val="1"/>
      <w:tblBorders>
        <w:top w:val="single" w:sz="4" w:space="0" w:color="E76179" w:themeColor="accent4" w:themeTint="90"/>
        <w:bottom w:val="single" w:sz="4" w:space="0" w:color="E76179" w:themeColor="accent4" w:themeTint="90"/>
        <w:insideH w:val="single" w:sz="4" w:space="0" w:color="E76179" w:themeColor="accent4" w:themeTint="90"/>
      </w:tblBorders>
    </w:tblPr>
    <w:tblStylePr w:type="firstRow">
      <w:rPr>
        <w:rFonts w:ascii="Arial" w:hAnsi="Arial"/>
        <w:b/>
        <w:color w:val="404040"/>
        <w:sz w:val="22"/>
      </w:rPr>
      <w:tblPr/>
      <w:tcPr>
        <w:tcBorders>
          <w:top w:val="single" w:sz="4" w:space="0" w:color="E76179" w:themeColor="accent4" w:themeTint="90"/>
          <w:left w:val="none" w:sz="4" w:space="0" w:color="000000"/>
          <w:bottom w:val="single" w:sz="4" w:space="0" w:color="E76179" w:themeColor="accent4" w:themeTint="90"/>
          <w:right w:val="none" w:sz="4" w:space="0" w:color="000000"/>
        </w:tcBorders>
      </w:tcPr>
    </w:tblStylePr>
    <w:tblStylePr w:type="lastRow">
      <w:rPr>
        <w:rFonts w:ascii="Arial" w:hAnsi="Arial"/>
        <w:b/>
        <w:color w:val="404040"/>
        <w:sz w:val="22"/>
      </w:rPr>
      <w:tblPr/>
      <w:tcPr>
        <w:tcBorders>
          <w:top w:val="single" w:sz="4" w:space="0" w:color="E76179" w:themeColor="accent4" w:themeTint="90"/>
          <w:left w:val="none" w:sz="4" w:space="0" w:color="000000"/>
          <w:bottom w:val="single" w:sz="4" w:space="0" w:color="E76179"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4B9C3" w:themeColor="accent4" w:themeTint="40" w:fill="F4B9C3" w:themeFill="accent4" w:themeFillTint="40"/>
      </w:tcPr>
    </w:tblStylePr>
    <w:tblStylePr w:type="band1Horz">
      <w:rPr>
        <w:rFonts w:ascii="Arial" w:hAnsi="Arial"/>
        <w:color w:val="404040"/>
        <w:sz w:val="22"/>
      </w:rPr>
      <w:tblPr/>
      <w:tcPr>
        <w:shd w:val="clear" w:color="F4B9C3" w:themeColor="accent4" w:themeTint="40" w:fill="F4B9C3" w:themeFill="accent4" w:themeFillTint="40"/>
      </w:tcPr>
    </w:tblStylePr>
  </w:style>
  <w:style w:type="table" w:customStyle="1" w:styleId="ListTable2-Accent51">
    <w:name w:val="List Table 2 - Accent 51"/>
    <w:basedOn w:val="TableNormal"/>
    <w:uiPriority w:val="99"/>
    <w:pPr>
      <w:spacing w:after="0" w:line="240" w:lineRule="auto"/>
    </w:pPr>
    <w:tblPr>
      <w:tblStyleRowBandSize w:val="1"/>
      <w:tblStyleColBandSize w:val="1"/>
      <w:tblBorders>
        <w:top w:val="single" w:sz="4" w:space="0" w:color="32BFF7" w:themeColor="accent5" w:themeTint="90"/>
        <w:bottom w:val="single" w:sz="4" w:space="0" w:color="32BFF7" w:themeColor="accent5" w:themeTint="90"/>
        <w:insideH w:val="single" w:sz="4" w:space="0" w:color="32BFF7" w:themeColor="accent5" w:themeTint="90"/>
      </w:tblBorders>
    </w:tblPr>
    <w:tblStylePr w:type="firstRow">
      <w:rPr>
        <w:rFonts w:ascii="Arial" w:hAnsi="Arial"/>
        <w:b/>
        <w:color w:val="404040"/>
        <w:sz w:val="22"/>
      </w:rPr>
      <w:tblPr/>
      <w:tcPr>
        <w:tcBorders>
          <w:top w:val="single" w:sz="4" w:space="0" w:color="32BFF7" w:themeColor="accent5" w:themeTint="90"/>
          <w:left w:val="none" w:sz="4" w:space="0" w:color="000000"/>
          <w:bottom w:val="single" w:sz="4" w:space="0" w:color="32BFF7" w:themeColor="accent5" w:themeTint="90"/>
          <w:right w:val="none" w:sz="4" w:space="0" w:color="000000"/>
        </w:tcBorders>
      </w:tcPr>
    </w:tblStylePr>
    <w:tblStylePr w:type="lastRow">
      <w:rPr>
        <w:rFonts w:ascii="Arial" w:hAnsi="Arial"/>
        <w:b/>
        <w:color w:val="404040"/>
        <w:sz w:val="22"/>
      </w:rPr>
      <w:tblPr/>
      <w:tcPr>
        <w:tcBorders>
          <w:top w:val="single" w:sz="4" w:space="0" w:color="32BFF7" w:themeColor="accent5" w:themeTint="90"/>
          <w:left w:val="none" w:sz="4" w:space="0" w:color="000000"/>
          <w:bottom w:val="single" w:sz="4" w:space="0" w:color="32BFF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4E2FB" w:themeColor="accent5" w:themeTint="40" w:fill="A4E2FB" w:themeFill="accent5" w:themeFillTint="40"/>
      </w:tcPr>
    </w:tblStylePr>
    <w:tblStylePr w:type="band1Horz">
      <w:rPr>
        <w:rFonts w:ascii="Arial" w:hAnsi="Arial"/>
        <w:color w:val="404040"/>
        <w:sz w:val="22"/>
      </w:rPr>
      <w:tblPr/>
      <w:tcPr>
        <w:shd w:val="clear" w:color="A4E2FB" w:themeColor="accent5" w:themeTint="40" w:fill="A4E2FB" w:themeFill="accent5" w:themeFillTint="40"/>
      </w:tcPr>
    </w:tblStylePr>
  </w:style>
  <w:style w:type="table" w:customStyle="1" w:styleId="ListTable2-Accent61">
    <w:name w:val="List Table 2 - Accent 61"/>
    <w:basedOn w:val="TableNormal"/>
    <w:uiPriority w:val="99"/>
    <w:pPr>
      <w:spacing w:after="0" w:line="240" w:lineRule="auto"/>
    </w:pPr>
    <w:tblPr>
      <w:tblStyleRowBandSize w:val="1"/>
      <w:tblStyleColBandSize w:val="1"/>
      <w:tblBorders>
        <w:top w:val="single" w:sz="4" w:space="0" w:color="6F6F6F" w:themeColor="accent6" w:themeTint="90"/>
        <w:bottom w:val="single" w:sz="4" w:space="0" w:color="6F6F6F" w:themeColor="accent6" w:themeTint="90"/>
        <w:insideH w:val="single" w:sz="4" w:space="0" w:color="6F6F6F" w:themeColor="accent6" w:themeTint="90"/>
      </w:tblBorders>
    </w:tblPr>
    <w:tblStylePr w:type="firstRow">
      <w:rPr>
        <w:rFonts w:ascii="Arial" w:hAnsi="Arial"/>
        <w:b/>
        <w:color w:val="404040"/>
        <w:sz w:val="22"/>
      </w:rPr>
      <w:tblPr/>
      <w:tcPr>
        <w:tcBorders>
          <w:top w:val="single" w:sz="4" w:space="0" w:color="6F6F6F" w:themeColor="accent6" w:themeTint="90"/>
          <w:left w:val="none" w:sz="4" w:space="0" w:color="000000"/>
          <w:bottom w:val="single" w:sz="4" w:space="0" w:color="6F6F6F" w:themeColor="accent6" w:themeTint="90"/>
          <w:right w:val="none" w:sz="4" w:space="0" w:color="000000"/>
        </w:tcBorders>
      </w:tcPr>
    </w:tblStylePr>
    <w:tblStylePr w:type="lastRow">
      <w:rPr>
        <w:rFonts w:ascii="Arial" w:hAnsi="Arial"/>
        <w:b/>
        <w:color w:val="404040"/>
        <w:sz w:val="22"/>
      </w:rPr>
      <w:tblPr/>
      <w:tcPr>
        <w:tcBorders>
          <w:top w:val="single" w:sz="4" w:space="0" w:color="6F6F6F" w:themeColor="accent6" w:themeTint="90"/>
          <w:left w:val="none" w:sz="4" w:space="0" w:color="000000"/>
          <w:bottom w:val="single" w:sz="4" w:space="0" w:color="6F6F6F"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accent6" w:themeTint="40" w:fill="BFBFBF" w:themeFill="accent6" w:themeFillTint="40"/>
      </w:tcPr>
    </w:tblStylePr>
    <w:tblStylePr w:type="band1Horz">
      <w:rPr>
        <w:rFonts w:ascii="Arial" w:hAnsi="Arial"/>
        <w:color w:val="404040"/>
        <w:sz w:val="22"/>
      </w:rPr>
      <w:tblPr/>
      <w:tcPr>
        <w:shd w:val="clear" w:color="BFBFBF" w:themeColor="accent6" w:themeTint="40" w:fill="BFBFBF" w:themeFill="accent6" w:themeFillTint="40"/>
      </w:tcPr>
    </w:tblStylePr>
  </w:style>
  <w:style w:type="table" w:styleId="ListTable3">
    <w:name w:val="List Table 3"/>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pPr>
      <w:spacing w:after="0" w:line="240" w:lineRule="auto"/>
    </w:pPr>
    <w:tblPr>
      <w:tblStyleRowBandSize w:val="1"/>
      <w:tblStyleColBandSize w:val="1"/>
      <w:tblBorders>
        <w:top w:val="single" w:sz="4" w:space="0" w:color="4BA0AF" w:themeColor="accent1"/>
        <w:left w:val="single" w:sz="4" w:space="0" w:color="4BA0AF" w:themeColor="accent1"/>
        <w:bottom w:val="single" w:sz="4" w:space="0" w:color="4BA0AF" w:themeColor="accent1"/>
        <w:right w:val="single" w:sz="4" w:space="0" w:color="4BA0AF" w:themeColor="accent1"/>
      </w:tblBorders>
    </w:tblPr>
    <w:tblStylePr w:type="firstRow">
      <w:rPr>
        <w:rFonts w:ascii="Arial" w:hAnsi="Arial"/>
        <w:b/>
        <w:color w:val="FFFFFF"/>
        <w:sz w:val="22"/>
      </w:rPr>
      <w:tblPr/>
      <w:tcPr>
        <w:shd w:val="clear" w:color="4BA0AF" w:themeColor="accent1" w:fill="4BA0AF"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BA0AF" w:themeColor="accent1"/>
          <w:right w:val="single" w:sz="4" w:space="0" w:color="4BA0AF" w:themeColor="accent1"/>
        </w:tcBorders>
      </w:tcPr>
    </w:tblStylePr>
    <w:tblStylePr w:type="band1Horz">
      <w:rPr>
        <w:rFonts w:ascii="Arial" w:hAnsi="Arial"/>
        <w:color w:val="404040"/>
        <w:sz w:val="22"/>
      </w:rPr>
      <w:tblPr/>
      <w:tcPr>
        <w:tcBorders>
          <w:top w:val="single" w:sz="4" w:space="0" w:color="4BA0AF" w:themeColor="accent1"/>
          <w:bottom w:val="single" w:sz="4" w:space="0" w:color="4BA0AF" w:themeColor="accent1"/>
        </w:tcBorders>
      </w:tcPr>
    </w:tblStylePr>
  </w:style>
  <w:style w:type="table" w:customStyle="1" w:styleId="ListTable3-Accent21">
    <w:name w:val="List Table 3 - Accent 21"/>
    <w:basedOn w:val="TableNormal"/>
    <w:uiPriority w:val="99"/>
    <w:pPr>
      <w:spacing w:after="0" w:line="240" w:lineRule="auto"/>
    </w:pPr>
    <w:tblPr>
      <w:tblStyleRowBandSize w:val="1"/>
      <w:tblStyleColBandSize w:val="1"/>
      <w:tblBorders>
        <w:top w:val="single" w:sz="4" w:space="0" w:color="FF50A9" w:themeColor="accent2" w:themeTint="97"/>
        <w:left w:val="single" w:sz="4" w:space="0" w:color="FF50A9" w:themeColor="accent2" w:themeTint="97"/>
        <w:bottom w:val="single" w:sz="4" w:space="0" w:color="FF50A9" w:themeColor="accent2" w:themeTint="97"/>
        <w:right w:val="single" w:sz="4" w:space="0" w:color="FF50A9" w:themeColor="accent2" w:themeTint="97"/>
      </w:tblBorders>
    </w:tblPr>
    <w:tblStylePr w:type="firstRow">
      <w:rPr>
        <w:rFonts w:ascii="Arial" w:hAnsi="Arial"/>
        <w:b/>
        <w:color w:val="FFFFFF"/>
        <w:sz w:val="22"/>
      </w:rPr>
      <w:tblPr/>
      <w:tcPr>
        <w:shd w:val="clear" w:color="FF50A9" w:themeColor="accent2" w:themeTint="97" w:fill="FF50A9"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50A9" w:themeColor="accent2" w:themeTint="97"/>
          <w:right w:val="single" w:sz="4" w:space="0" w:color="FF50A9" w:themeColor="accent2" w:themeTint="97"/>
        </w:tcBorders>
      </w:tcPr>
    </w:tblStylePr>
    <w:tblStylePr w:type="band1Horz">
      <w:rPr>
        <w:rFonts w:ascii="Arial" w:hAnsi="Arial"/>
        <w:color w:val="404040"/>
        <w:sz w:val="22"/>
      </w:rPr>
      <w:tblPr/>
      <w:tcPr>
        <w:tcBorders>
          <w:top w:val="single" w:sz="4" w:space="0" w:color="FF50A9" w:themeColor="accent2" w:themeTint="97"/>
          <w:bottom w:val="single" w:sz="4" w:space="0" w:color="FF50A9" w:themeColor="accent2" w:themeTint="97"/>
        </w:tcBorders>
      </w:tcPr>
    </w:tblStylePr>
  </w:style>
  <w:style w:type="table" w:customStyle="1" w:styleId="ListTable3-Accent31">
    <w:name w:val="List Table 3 - Accent 31"/>
    <w:basedOn w:val="TableNormal"/>
    <w:uiPriority w:val="99"/>
    <w:pPr>
      <w:spacing w:after="0" w:line="240" w:lineRule="auto"/>
    </w:pPr>
    <w:tblPr>
      <w:tblStyleRowBandSize w:val="1"/>
      <w:tblStyleColBandSize w:val="1"/>
      <w:tblBorders>
        <w:top w:val="single" w:sz="4" w:space="0" w:color="F9C0AE" w:themeColor="accent3" w:themeTint="98"/>
        <w:left w:val="single" w:sz="4" w:space="0" w:color="F9C0AE" w:themeColor="accent3" w:themeTint="98"/>
        <w:bottom w:val="single" w:sz="4" w:space="0" w:color="F9C0AE" w:themeColor="accent3" w:themeTint="98"/>
        <w:right w:val="single" w:sz="4" w:space="0" w:color="F9C0AE" w:themeColor="accent3" w:themeTint="98"/>
      </w:tblBorders>
    </w:tblPr>
    <w:tblStylePr w:type="firstRow">
      <w:rPr>
        <w:rFonts w:ascii="Arial" w:hAnsi="Arial"/>
        <w:b/>
        <w:color w:val="FFFFFF"/>
        <w:sz w:val="22"/>
      </w:rPr>
      <w:tblPr/>
      <w:tcPr>
        <w:shd w:val="clear" w:color="F9C0AE" w:themeColor="accent3" w:themeTint="98" w:fill="F9C0AE"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9C0AE" w:themeColor="accent3" w:themeTint="98"/>
          <w:right w:val="single" w:sz="4" w:space="0" w:color="F9C0AE" w:themeColor="accent3" w:themeTint="98"/>
        </w:tcBorders>
      </w:tcPr>
    </w:tblStylePr>
    <w:tblStylePr w:type="band1Horz">
      <w:rPr>
        <w:rFonts w:ascii="Arial" w:hAnsi="Arial"/>
        <w:color w:val="404040"/>
        <w:sz w:val="22"/>
      </w:rPr>
      <w:tblPr/>
      <w:tcPr>
        <w:tcBorders>
          <w:top w:val="single" w:sz="4" w:space="0" w:color="F9C0AE" w:themeColor="accent3" w:themeTint="98"/>
          <w:bottom w:val="single" w:sz="4" w:space="0" w:color="F9C0AE" w:themeColor="accent3" w:themeTint="98"/>
        </w:tcBorders>
      </w:tcPr>
    </w:tblStylePr>
  </w:style>
  <w:style w:type="table" w:customStyle="1" w:styleId="ListTable3-Accent41">
    <w:name w:val="List Table 3 - Accent 41"/>
    <w:basedOn w:val="TableNormal"/>
    <w:uiPriority w:val="99"/>
    <w:pPr>
      <w:spacing w:after="0" w:line="240" w:lineRule="auto"/>
    </w:pPr>
    <w:tblPr>
      <w:tblStyleRowBandSize w:val="1"/>
      <w:tblStyleColBandSize w:val="1"/>
      <w:tblBorders>
        <w:top w:val="single" w:sz="4" w:space="0" w:color="E55770" w:themeColor="accent4" w:themeTint="9A"/>
        <w:left w:val="single" w:sz="4" w:space="0" w:color="E55770" w:themeColor="accent4" w:themeTint="9A"/>
        <w:bottom w:val="single" w:sz="4" w:space="0" w:color="E55770" w:themeColor="accent4" w:themeTint="9A"/>
        <w:right w:val="single" w:sz="4" w:space="0" w:color="E55770" w:themeColor="accent4" w:themeTint="9A"/>
      </w:tblBorders>
    </w:tblPr>
    <w:tblStylePr w:type="firstRow">
      <w:rPr>
        <w:rFonts w:ascii="Arial" w:hAnsi="Arial"/>
        <w:b/>
        <w:color w:val="FFFFFF"/>
        <w:sz w:val="22"/>
      </w:rPr>
      <w:tblPr/>
      <w:tcPr>
        <w:shd w:val="clear" w:color="E55770" w:themeColor="accent4" w:themeTint="9A" w:fill="E55770"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55770" w:themeColor="accent4" w:themeTint="9A"/>
          <w:right w:val="single" w:sz="4" w:space="0" w:color="E55770" w:themeColor="accent4" w:themeTint="9A"/>
        </w:tcBorders>
      </w:tcPr>
    </w:tblStylePr>
    <w:tblStylePr w:type="band1Horz">
      <w:rPr>
        <w:rFonts w:ascii="Arial" w:hAnsi="Arial"/>
        <w:color w:val="404040"/>
        <w:sz w:val="22"/>
      </w:rPr>
      <w:tblPr/>
      <w:tcPr>
        <w:tcBorders>
          <w:top w:val="single" w:sz="4" w:space="0" w:color="E55770" w:themeColor="accent4" w:themeTint="9A"/>
          <w:bottom w:val="single" w:sz="4" w:space="0" w:color="E55770" w:themeColor="accent4" w:themeTint="9A"/>
        </w:tcBorders>
      </w:tcPr>
    </w:tblStylePr>
  </w:style>
  <w:style w:type="table" w:customStyle="1" w:styleId="ListTable3-Accent51">
    <w:name w:val="List Table 3 - Accent 51"/>
    <w:basedOn w:val="TableNormal"/>
    <w:uiPriority w:val="99"/>
    <w:pPr>
      <w:spacing w:after="0" w:line="240" w:lineRule="auto"/>
    </w:pPr>
    <w:tblPr>
      <w:tblStyleRowBandSize w:val="1"/>
      <w:tblStyleColBandSize w:val="1"/>
      <w:tblBorders>
        <w:top w:val="single" w:sz="4" w:space="0" w:color="24BBF6" w:themeColor="accent5" w:themeTint="9A"/>
        <w:left w:val="single" w:sz="4" w:space="0" w:color="24BBF6" w:themeColor="accent5" w:themeTint="9A"/>
        <w:bottom w:val="single" w:sz="4" w:space="0" w:color="24BBF6" w:themeColor="accent5" w:themeTint="9A"/>
        <w:right w:val="single" w:sz="4" w:space="0" w:color="24BBF6" w:themeColor="accent5" w:themeTint="9A"/>
      </w:tblBorders>
    </w:tblPr>
    <w:tblStylePr w:type="firstRow">
      <w:rPr>
        <w:rFonts w:ascii="Arial" w:hAnsi="Arial"/>
        <w:b/>
        <w:color w:val="FFFFFF"/>
        <w:sz w:val="22"/>
      </w:rPr>
      <w:tblPr/>
      <w:tcPr>
        <w:shd w:val="clear" w:color="24BBF6" w:themeColor="accent5" w:themeTint="9A" w:fill="24BBF6"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24BBF6" w:themeColor="accent5" w:themeTint="9A"/>
          <w:right w:val="single" w:sz="4" w:space="0" w:color="24BBF6" w:themeColor="accent5" w:themeTint="9A"/>
        </w:tcBorders>
      </w:tcPr>
    </w:tblStylePr>
    <w:tblStylePr w:type="band1Horz">
      <w:rPr>
        <w:rFonts w:ascii="Arial" w:hAnsi="Arial"/>
        <w:color w:val="404040"/>
        <w:sz w:val="22"/>
      </w:rPr>
      <w:tblPr/>
      <w:tcPr>
        <w:tcBorders>
          <w:top w:val="single" w:sz="4" w:space="0" w:color="24BBF6" w:themeColor="accent5" w:themeTint="9A"/>
          <w:bottom w:val="single" w:sz="4" w:space="0" w:color="24BBF6" w:themeColor="accent5" w:themeTint="9A"/>
        </w:tcBorders>
      </w:tcPr>
    </w:tblStylePr>
  </w:style>
  <w:style w:type="table" w:customStyle="1" w:styleId="ListTable3-Accent61">
    <w:name w:val="List Table 3 - Accent 61"/>
    <w:basedOn w:val="TableNormal"/>
    <w:uiPriority w:val="99"/>
    <w:pPr>
      <w:spacing w:after="0" w:line="240" w:lineRule="auto"/>
    </w:pPr>
    <w:tblPr>
      <w:tblStyleRowBandSize w:val="1"/>
      <w:tblStyleColBandSize w:val="1"/>
      <w:tblBorders>
        <w:top w:val="single" w:sz="4" w:space="0" w:color="676767" w:themeColor="accent6" w:themeTint="98"/>
        <w:left w:val="single" w:sz="4" w:space="0" w:color="676767" w:themeColor="accent6" w:themeTint="98"/>
        <w:bottom w:val="single" w:sz="4" w:space="0" w:color="676767" w:themeColor="accent6" w:themeTint="98"/>
        <w:right w:val="single" w:sz="4" w:space="0" w:color="676767" w:themeColor="accent6" w:themeTint="98"/>
      </w:tblBorders>
    </w:tblPr>
    <w:tblStylePr w:type="firstRow">
      <w:rPr>
        <w:rFonts w:ascii="Arial" w:hAnsi="Arial"/>
        <w:b/>
        <w:color w:val="FFFFFF"/>
        <w:sz w:val="22"/>
      </w:rPr>
      <w:tblPr/>
      <w:tcPr>
        <w:shd w:val="clear" w:color="676767" w:themeColor="accent6" w:themeTint="98" w:fill="676767"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76767" w:themeColor="accent6" w:themeTint="98"/>
          <w:right w:val="single" w:sz="4" w:space="0" w:color="676767" w:themeColor="accent6" w:themeTint="98"/>
        </w:tcBorders>
      </w:tcPr>
    </w:tblStylePr>
    <w:tblStylePr w:type="band1Horz">
      <w:rPr>
        <w:rFonts w:ascii="Arial" w:hAnsi="Arial"/>
        <w:color w:val="404040"/>
        <w:sz w:val="22"/>
      </w:rPr>
      <w:tblPr/>
      <w:tcPr>
        <w:tcBorders>
          <w:top w:val="single" w:sz="4" w:space="0" w:color="676767" w:themeColor="accent6" w:themeTint="98"/>
          <w:bottom w:val="single" w:sz="4" w:space="0" w:color="676767" w:themeColor="accent6" w:themeTint="98"/>
        </w:tcBorders>
      </w:tcPr>
    </w:tblStylePr>
  </w:style>
  <w:style w:type="table" w:styleId="ListTable4">
    <w:name w:val="List Table 4"/>
    <w:basedOn w:val="Table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1">
    <w:name w:val="List Table 4 - Accent 11"/>
    <w:basedOn w:val="TableNormal"/>
    <w:uiPriority w:val="99"/>
    <w:pPr>
      <w:spacing w:after="0" w:line="240" w:lineRule="auto"/>
    </w:pPr>
    <w:tblPr>
      <w:tblStyleRowBandSize w:val="1"/>
      <w:tblStyleColBandSize w:val="1"/>
      <w:tblBorders>
        <w:top w:val="single" w:sz="4" w:space="0" w:color="98C9D3" w:themeColor="accent1" w:themeTint="90"/>
        <w:left w:val="single" w:sz="4" w:space="0" w:color="98C9D3" w:themeColor="accent1" w:themeTint="90"/>
        <w:bottom w:val="single" w:sz="4" w:space="0" w:color="98C9D3" w:themeColor="accent1" w:themeTint="90"/>
        <w:right w:val="single" w:sz="4" w:space="0" w:color="98C9D3" w:themeColor="accent1" w:themeTint="90"/>
        <w:insideH w:val="single" w:sz="4" w:space="0" w:color="98C9D3" w:themeColor="accent1" w:themeTint="90"/>
      </w:tblBorders>
    </w:tblPr>
    <w:tblStylePr w:type="firstRow">
      <w:rPr>
        <w:rFonts w:ascii="Arial" w:hAnsi="Arial"/>
        <w:b/>
        <w:color w:val="FFFFFF"/>
        <w:sz w:val="22"/>
      </w:rPr>
      <w:tblPr/>
      <w:tcPr>
        <w:shd w:val="clear" w:color="4BA0AF" w:themeColor="accent1" w:fill="4BA0AF"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7EB" w:themeColor="accent1" w:themeTint="40" w:fill="D1E7EB" w:themeFill="accent1" w:themeFillTint="40"/>
      </w:tcPr>
    </w:tblStylePr>
    <w:tblStylePr w:type="band1Horz">
      <w:rPr>
        <w:rFonts w:ascii="Arial" w:hAnsi="Arial"/>
        <w:color w:val="404040"/>
        <w:sz w:val="22"/>
      </w:rPr>
      <w:tblPr/>
      <w:tcPr>
        <w:shd w:val="clear" w:color="D1E7EB" w:themeColor="accent1" w:themeTint="40" w:fill="D1E7EB" w:themeFill="accent1" w:themeFillTint="40"/>
      </w:tcPr>
    </w:tblStylePr>
  </w:style>
  <w:style w:type="table" w:customStyle="1" w:styleId="ListTable4-Accent21">
    <w:name w:val="List Table 4 - Accent 21"/>
    <w:basedOn w:val="TableNormal"/>
    <w:uiPriority w:val="99"/>
    <w:pPr>
      <w:spacing w:after="0" w:line="240" w:lineRule="auto"/>
    </w:pPr>
    <w:tblPr>
      <w:tblStyleRowBandSize w:val="1"/>
      <w:tblStyleColBandSize w:val="1"/>
      <w:tblBorders>
        <w:top w:val="single" w:sz="4" w:space="0" w:color="FF58AD" w:themeColor="accent2" w:themeTint="90"/>
        <w:left w:val="single" w:sz="4" w:space="0" w:color="FF58AD" w:themeColor="accent2" w:themeTint="90"/>
        <w:bottom w:val="single" w:sz="4" w:space="0" w:color="FF58AD" w:themeColor="accent2" w:themeTint="90"/>
        <w:right w:val="single" w:sz="4" w:space="0" w:color="FF58AD" w:themeColor="accent2" w:themeTint="90"/>
        <w:insideH w:val="single" w:sz="4" w:space="0" w:color="FF58AD" w:themeColor="accent2" w:themeTint="90"/>
      </w:tblBorders>
    </w:tblPr>
    <w:tblStylePr w:type="firstRow">
      <w:rPr>
        <w:rFonts w:ascii="Arial" w:hAnsi="Arial"/>
        <w:b/>
        <w:color w:val="FFFFFF"/>
        <w:sz w:val="22"/>
      </w:rPr>
      <w:tblPr/>
      <w:tcPr>
        <w:shd w:val="clear" w:color="D7006E" w:themeColor="accent2" w:fill="D7006E"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B4DA" w:themeColor="accent2" w:themeTint="40" w:fill="FFB4DA" w:themeFill="accent2" w:themeFillTint="40"/>
      </w:tcPr>
    </w:tblStylePr>
    <w:tblStylePr w:type="band1Horz">
      <w:rPr>
        <w:rFonts w:ascii="Arial" w:hAnsi="Arial"/>
        <w:color w:val="404040"/>
        <w:sz w:val="22"/>
      </w:rPr>
      <w:tblPr/>
      <w:tcPr>
        <w:shd w:val="clear" w:color="FFB4DA" w:themeColor="accent2" w:themeTint="40" w:fill="FFB4DA" w:themeFill="accent2" w:themeFillTint="40"/>
      </w:tcPr>
    </w:tblStylePr>
  </w:style>
  <w:style w:type="table" w:customStyle="1" w:styleId="ListTable4-Accent31">
    <w:name w:val="List Table 4 - Accent 31"/>
    <w:basedOn w:val="TableNormal"/>
    <w:uiPriority w:val="99"/>
    <w:pPr>
      <w:spacing w:after="0" w:line="240" w:lineRule="auto"/>
    </w:pPr>
    <w:tblPr>
      <w:tblStyleRowBandSize w:val="1"/>
      <w:tblStyleColBandSize w:val="1"/>
      <w:tblBorders>
        <w:top w:val="single" w:sz="4" w:space="0" w:color="F9C3B2" w:themeColor="accent3" w:themeTint="90"/>
        <w:left w:val="single" w:sz="4" w:space="0" w:color="F9C3B2" w:themeColor="accent3" w:themeTint="90"/>
        <w:bottom w:val="single" w:sz="4" w:space="0" w:color="F9C3B2" w:themeColor="accent3" w:themeTint="90"/>
        <w:right w:val="single" w:sz="4" w:space="0" w:color="F9C3B2" w:themeColor="accent3" w:themeTint="90"/>
        <w:insideH w:val="single" w:sz="4" w:space="0" w:color="F9C3B2" w:themeColor="accent3" w:themeTint="90"/>
      </w:tblBorders>
    </w:tblPr>
    <w:tblStylePr w:type="firstRow">
      <w:rPr>
        <w:rFonts w:ascii="Arial" w:hAnsi="Arial"/>
        <w:b/>
        <w:color w:val="FFFFFF"/>
        <w:sz w:val="22"/>
      </w:rPr>
      <w:tblPr/>
      <w:tcPr>
        <w:shd w:val="clear" w:color="F59678" w:themeColor="accent3" w:fill="F59678"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CE4DC" w:themeColor="accent3" w:themeTint="40" w:fill="FCE4DC" w:themeFill="accent3" w:themeFillTint="40"/>
      </w:tcPr>
    </w:tblStylePr>
    <w:tblStylePr w:type="band1Horz">
      <w:rPr>
        <w:rFonts w:ascii="Arial" w:hAnsi="Arial"/>
        <w:color w:val="404040"/>
        <w:sz w:val="22"/>
      </w:rPr>
      <w:tblPr/>
      <w:tcPr>
        <w:shd w:val="clear" w:color="FCE4DC" w:themeColor="accent3" w:themeTint="40" w:fill="FCE4DC" w:themeFill="accent3" w:themeFillTint="40"/>
      </w:tcPr>
    </w:tblStylePr>
  </w:style>
  <w:style w:type="table" w:customStyle="1" w:styleId="ListTable4-Accent41">
    <w:name w:val="List Table 4 - Accent 41"/>
    <w:basedOn w:val="TableNormal"/>
    <w:uiPriority w:val="99"/>
    <w:pPr>
      <w:spacing w:after="0" w:line="240" w:lineRule="auto"/>
    </w:pPr>
    <w:tblPr>
      <w:tblStyleRowBandSize w:val="1"/>
      <w:tblStyleColBandSize w:val="1"/>
      <w:tblBorders>
        <w:top w:val="single" w:sz="4" w:space="0" w:color="E76179" w:themeColor="accent4" w:themeTint="90"/>
        <w:left w:val="single" w:sz="4" w:space="0" w:color="E76179" w:themeColor="accent4" w:themeTint="90"/>
        <w:bottom w:val="single" w:sz="4" w:space="0" w:color="E76179" w:themeColor="accent4" w:themeTint="90"/>
        <w:right w:val="single" w:sz="4" w:space="0" w:color="E76179" w:themeColor="accent4" w:themeTint="90"/>
        <w:insideH w:val="single" w:sz="4" w:space="0" w:color="E76179" w:themeColor="accent4" w:themeTint="90"/>
      </w:tblBorders>
    </w:tblPr>
    <w:tblStylePr w:type="firstRow">
      <w:rPr>
        <w:rFonts w:ascii="Arial" w:hAnsi="Arial"/>
        <w:b/>
        <w:color w:val="FFFFFF"/>
        <w:sz w:val="22"/>
      </w:rPr>
      <w:tblPr/>
      <w:tcPr>
        <w:shd w:val="clear" w:color="A51932" w:themeColor="accent4" w:fill="A5193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4B9C3" w:themeColor="accent4" w:themeTint="40" w:fill="F4B9C3" w:themeFill="accent4" w:themeFillTint="40"/>
      </w:tcPr>
    </w:tblStylePr>
    <w:tblStylePr w:type="band1Horz">
      <w:rPr>
        <w:rFonts w:ascii="Arial" w:hAnsi="Arial"/>
        <w:color w:val="404040"/>
        <w:sz w:val="22"/>
      </w:rPr>
      <w:tblPr/>
      <w:tcPr>
        <w:shd w:val="clear" w:color="F4B9C3" w:themeColor="accent4" w:themeTint="40" w:fill="F4B9C3" w:themeFill="accent4" w:themeFillTint="40"/>
      </w:tcPr>
    </w:tblStylePr>
  </w:style>
  <w:style w:type="table" w:customStyle="1" w:styleId="ListTable4-Accent51">
    <w:name w:val="List Table 4 - Accent 51"/>
    <w:basedOn w:val="TableNormal"/>
    <w:uiPriority w:val="99"/>
    <w:pPr>
      <w:spacing w:after="0" w:line="240" w:lineRule="auto"/>
    </w:pPr>
    <w:tblPr>
      <w:tblStyleRowBandSize w:val="1"/>
      <w:tblStyleColBandSize w:val="1"/>
      <w:tblBorders>
        <w:top w:val="single" w:sz="4" w:space="0" w:color="32BFF7" w:themeColor="accent5" w:themeTint="90"/>
        <w:left w:val="single" w:sz="4" w:space="0" w:color="32BFF7" w:themeColor="accent5" w:themeTint="90"/>
        <w:bottom w:val="single" w:sz="4" w:space="0" w:color="32BFF7" w:themeColor="accent5" w:themeTint="90"/>
        <w:right w:val="single" w:sz="4" w:space="0" w:color="32BFF7" w:themeColor="accent5" w:themeTint="90"/>
        <w:insideH w:val="single" w:sz="4" w:space="0" w:color="32BFF7" w:themeColor="accent5" w:themeTint="90"/>
      </w:tblBorders>
    </w:tblPr>
    <w:tblStylePr w:type="firstRow">
      <w:rPr>
        <w:rFonts w:ascii="Arial" w:hAnsi="Arial"/>
        <w:b/>
        <w:color w:val="FFFFFF"/>
        <w:sz w:val="22"/>
      </w:rPr>
      <w:tblPr/>
      <w:tcPr>
        <w:shd w:val="clear" w:color="055F82" w:themeColor="accent5" w:fill="055F82"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4E2FB" w:themeColor="accent5" w:themeTint="40" w:fill="A4E2FB" w:themeFill="accent5" w:themeFillTint="40"/>
      </w:tcPr>
    </w:tblStylePr>
    <w:tblStylePr w:type="band1Horz">
      <w:rPr>
        <w:rFonts w:ascii="Arial" w:hAnsi="Arial"/>
        <w:color w:val="404040"/>
        <w:sz w:val="22"/>
      </w:rPr>
      <w:tblPr/>
      <w:tcPr>
        <w:shd w:val="clear" w:color="A4E2FB" w:themeColor="accent5" w:themeTint="40" w:fill="A4E2FB" w:themeFill="accent5" w:themeFillTint="40"/>
      </w:tcPr>
    </w:tblStylePr>
  </w:style>
  <w:style w:type="table" w:customStyle="1" w:styleId="ListTable4-Accent61">
    <w:name w:val="List Table 4 - Accent 61"/>
    <w:basedOn w:val="TableNormal"/>
    <w:uiPriority w:val="99"/>
    <w:pPr>
      <w:spacing w:after="0" w:line="240" w:lineRule="auto"/>
    </w:pPr>
    <w:tblPr>
      <w:tblStyleRowBandSize w:val="1"/>
      <w:tblStyleColBandSize w:val="1"/>
      <w:tblBorders>
        <w:top w:val="single" w:sz="4" w:space="0" w:color="6F6F6F" w:themeColor="accent6" w:themeTint="90"/>
        <w:left w:val="single" w:sz="4" w:space="0" w:color="6F6F6F" w:themeColor="accent6" w:themeTint="90"/>
        <w:bottom w:val="single" w:sz="4" w:space="0" w:color="6F6F6F" w:themeColor="accent6" w:themeTint="90"/>
        <w:right w:val="single" w:sz="4" w:space="0" w:color="6F6F6F" w:themeColor="accent6" w:themeTint="90"/>
        <w:insideH w:val="single" w:sz="4" w:space="0" w:color="6F6F6F" w:themeColor="accent6" w:themeTint="90"/>
      </w:tblBorders>
    </w:tblPr>
    <w:tblStylePr w:type="firstRow">
      <w:rPr>
        <w:rFonts w:ascii="Arial" w:hAnsi="Arial"/>
        <w:b/>
        <w:color w:val="FFFFFF"/>
        <w:sz w:val="22"/>
      </w:rPr>
      <w:tblPr/>
      <w:tcPr>
        <w:shd w:val="clear" w:color="000000" w:themeColor="accent6" w:fill="000000"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accent6" w:themeTint="40" w:fill="BFBFBF" w:themeFill="accent6" w:themeFillTint="40"/>
      </w:tcPr>
    </w:tblStylePr>
    <w:tblStylePr w:type="band1Horz">
      <w:rPr>
        <w:rFonts w:ascii="Arial" w:hAnsi="Arial"/>
        <w:color w:val="404040"/>
        <w:sz w:val="22"/>
      </w:rPr>
      <w:tblPr/>
      <w:tcPr>
        <w:shd w:val="clear" w:color="BFBFBF" w:themeColor="accent6" w:themeTint="40" w:fill="BFBFBF" w:themeFill="accent6" w:themeFillTint="40"/>
      </w:tcPr>
    </w:tblStylePr>
  </w:style>
  <w:style w:type="table" w:styleId="ListTable5Dark">
    <w:name w:val="List Table 5 Dark"/>
    <w:basedOn w:val="Table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1">
    <w:name w:val="List Table 5 Dark - Accent 11"/>
    <w:basedOn w:val="TableNormal"/>
    <w:uiPriority w:val="99"/>
    <w:pPr>
      <w:spacing w:after="0" w:line="240" w:lineRule="auto"/>
    </w:pPr>
    <w:tblPr>
      <w:tblStyleRowBandSize w:val="1"/>
      <w:tblStyleColBandSize w:val="1"/>
      <w:tblBorders>
        <w:top w:val="single" w:sz="32" w:space="0" w:color="4BA0AF" w:themeColor="accent1"/>
        <w:left w:val="single" w:sz="32" w:space="0" w:color="4BA0AF" w:themeColor="accent1"/>
        <w:bottom w:val="single" w:sz="32" w:space="0" w:color="4BA0AF" w:themeColor="accent1"/>
        <w:right w:val="single" w:sz="32" w:space="0" w:color="4BA0AF" w:themeColor="accent1"/>
      </w:tblBorders>
      <w:shd w:val="clear" w:color="4BA0AF" w:themeColor="accent1" w:fill="4BA0AF" w:themeFill="accent1"/>
    </w:tblPr>
    <w:tblStylePr w:type="firstRow">
      <w:rPr>
        <w:rFonts w:ascii="Arial" w:hAnsi="Arial"/>
        <w:b/>
        <w:color w:val="FFFFFF" w:themeColor="light1"/>
        <w:sz w:val="22"/>
      </w:rPr>
      <w:tblPr/>
      <w:tcPr>
        <w:tcBorders>
          <w:top w:val="single" w:sz="32" w:space="0" w:color="4BA0AF" w:themeColor="accent1"/>
          <w:bottom w:val="single" w:sz="12" w:space="0" w:color="FFFFFF" w:themeColor="light1"/>
        </w:tcBorders>
        <w:shd w:val="clear" w:color="4BA0AF" w:themeColor="accent1" w:fill="4BA0AF"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BA0AF" w:themeColor="accent1"/>
          <w:right w:val="single" w:sz="4" w:space="0" w:color="FFFFFF" w:themeColor="light1"/>
        </w:tcBorders>
      </w:tcPr>
    </w:tblStylePr>
    <w:tblStylePr w:type="lastCol">
      <w:tblPr/>
      <w:tcPr>
        <w:tcBorders>
          <w:left w:val="single" w:sz="4" w:space="0" w:color="FFFFFF" w:themeColor="light1"/>
          <w:right w:val="single" w:sz="32" w:space="0" w:color="4BA0AF" w:themeColor="accent1"/>
        </w:tcBorders>
      </w:tcPr>
    </w:tblStylePr>
    <w:tblStylePr w:type="band1Vert">
      <w:tblPr/>
      <w:tcPr>
        <w:tcBorders>
          <w:left w:val="single" w:sz="4" w:space="0" w:color="FFFFFF" w:themeColor="light1"/>
          <w:right w:val="single" w:sz="4" w:space="0" w:color="FFFFFF" w:themeColor="light1"/>
        </w:tcBorders>
        <w:shd w:val="clear" w:color="4BA0AF" w:themeColor="accent1" w:fill="4BA0AF"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BA0AF" w:themeColor="accent1" w:fill="4BA0AF" w:themeFill="accent1"/>
      </w:tcPr>
    </w:tblStylePr>
    <w:tblStylePr w:type="band2Horz">
      <w:tblPr/>
      <w:tcPr>
        <w:tcBorders>
          <w:top w:val="single" w:sz="4" w:space="0" w:color="FFFFFF" w:themeColor="light1"/>
          <w:bottom w:val="single" w:sz="4" w:space="0" w:color="FFFFFF" w:themeColor="light1"/>
        </w:tcBorders>
        <w:shd w:val="clear" w:color="4BA0AF" w:themeColor="accent1" w:fill="4BA0AF" w:themeFill="accent1"/>
      </w:tcPr>
    </w:tblStylePr>
  </w:style>
  <w:style w:type="table" w:customStyle="1" w:styleId="ListTable5Dark-Accent21">
    <w:name w:val="List Table 5 Dark - Accent 21"/>
    <w:basedOn w:val="TableNormal"/>
    <w:uiPriority w:val="99"/>
    <w:pPr>
      <w:spacing w:after="0" w:line="240" w:lineRule="auto"/>
    </w:pPr>
    <w:tblPr>
      <w:tblStyleRowBandSize w:val="1"/>
      <w:tblStyleColBandSize w:val="1"/>
      <w:tblBorders>
        <w:top w:val="single" w:sz="32" w:space="0" w:color="FF50A9" w:themeColor="accent2" w:themeTint="97"/>
        <w:left w:val="single" w:sz="32" w:space="0" w:color="FF50A9" w:themeColor="accent2" w:themeTint="97"/>
        <w:bottom w:val="single" w:sz="32" w:space="0" w:color="FF50A9" w:themeColor="accent2" w:themeTint="97"/>
        <w:right w:val="single" w:sz="32" w:space="0" w:color="FF50A9" w:themeColor="accent2" w:themeTint="97"/>
      </w:tblBorders>
      <w:shd w:val="clear" w:color="FF50A9" w:themeColor="accent2" w:themeTint="97" w:fill="FF50A9" w:themeFill="accent2" w:themeFillTint="97"/>
    </w:tblPr>
    <w:tblStylePr w:type="firstRow">
      <w:rPr>
        <w:rFonts w:ascii="Arial" w:hAnsi="Arial"/>
        <w:b/>
        <w:color w:val="FFFFFF" w:themeColor="light1"/>
        <w:sz w:val="22"/>
      </w:rPr>
      <w:tblPr/>
      <w:tcPr>
        <w:tcBorders>
          <w:top w:val="single" w:sz="32" w:space="0" w:color="FF50A9" w:themeColor="accent2" w:themeTint="97"/>
          <w:bottom w:val="single" w:sz="12" w:space="0" w:color="FFFFFF" w:themeColor="light1"/>
        </w:tcBorders>
        <w:shd w:val="clear" w:color="FF50A9" w:themeColor="accent2" w:themeTint="97" w:fill="FF50A9"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50A9" w:themeColor="accent2" w:themeTint="97"/>
          <w:right w:val="single" w:sz="4" w:space="0" w:color="FFFFFF" w:themeColor="light1"/>
        </w:tcBorders>
      </w:tcPr>
    </w:tblStylePr>
    <w:tblStylePr w:type="lastCol">
      <w:tblPr/>
      <w:tcPr>
        <w:tcBorders>
          <w:left w:val="single" w:sz="4" w:space="0" w:color="FFFFFF" w:themeColor="light1"/>
          <w:right w:val="single" w:sz="32" w:space="0" w:color="FF50A9" w:themeColor="accent2" w:themeTint="97"/>
        </w:tcBorders>
      </w:tcPr>
    </w:tblStylePr>
    <w:tblStylePr w:type="band1Vert">
      <w:tblPr/>
      <w:tcPr>
        <w:tcBorders>
          <w:left w:val="single" w:sz="4" w:space="0" w:color="FFFFFF" w:themeColor="light1"/>
          <w:right w:val="single" w:sz="4" w:space="0" w:color="FFFFFF" w:themeColor="light1"/>
        </w:tcBorders>
        <w:shd w:val="clear" w:color="FF50A9" w:themeColor="accent2" w:themeTint="97" w:fill="FF50A9"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50A9" w:themeColor="accent2" w:themeTint="97" w:fill="FF50A9" w:themeFill="accent2" w:themeFillTint="97"/>
      </w:tcPr>
    </w:tblStylePr>
    <w:tblStylePr w:type="band2Horz">
      <w:tblPr/>
      <w:tcPr>
        <w:tcBorders>
          <w:top w:val="single" w:sz="4" w:space="0" w:color="FFFFFF" w:themeColor="light1"/>
          <w:bottom w:val="single" w:sz="4" w:space="0" w:color="FFFFFF" w:themeColor="light1"/>
        </w:tcBorders>
        <w:shd w:val="clear" w:color="FF50A9" w:themeColor="accent2" w:themeTint="97" w:fill="FF50A9" w:themeFill="accent2" w:themeFillTint="97"/>
      </w:tcPr>
    </w:tblStylePr>
  </w:style>
  <w:style w:type="table" w:customStyle="1" w:styleId="ListTable5Dark-Accent31">
    <w:name w:val="List Table 5 Dark - Accent 31"/>
    <w:basedOn w:val="TableNormal"/>
    <w:uiPriority w:val="99"/>
    <w:pPr>
      <w:spacing w:after="0" w:line="240" w:lineRule="auto"/>
    </w:pPr>
    <w:tblPr>
      <w:tblStyleRowBandSize w:val="1"/>
      <w:tblStyleColBandSize w:val="1"/>
      <w:tblBorders>
        <w:top w:val="single" w:sz="32" w:space="0" w:color="F9C0AE" w:themeColor="accent3" w:themeTint="98"/>
        <w:left w:val="single" w:sz="32" w:space="0" w:color="F9C0AE" w:themeColor="accent3" w:themeTint="98"/>
        <w:bottom w:val="single" w:sz="32" w:space="0" w:color="F9C0AE" w:themeColor="accent3" w:themeTint="98"/>
        <w:right w:val="single" w:sz="32" w:space="0" w:color="F9C0AE" w:themeColor="accent3" w:themeTint="98"/>
      </w:tblBorders>
      <w:shd w:val="clear" w:color="F9C0AE" w:themeColor="accent3" w:themeTint="98" w:fill="F9C0AE" w:themeFill="accent3" w:themeFillTint="98"/>
    </w:tblPr>
    <w:tblStylePr w:type="firstRow">
      <w:rPr>
        <w:rFonts w:ascii="Arial" w:hAnsi="Arial"/>
        <w:b/>
        <w:color w:val="FFFFFF" w:themeColor="light1"/>
        <w:sz w:val="22"/>
      </w:rPr>
      <w:tblPr/>
      <w:tcPr>
        <w:tcBorders>
          <w:top w:val="single" w:sz="32" w:space="0" w:color="F9C0AE" w:themeColor="accent3" w:themeTint="98"/>
          <w:bottom w:val="single" w:sz="12" w:space="0" w:color="FFFFFF" w:themeColor="light1"/>
        </w:tcBorders>
        <w:shd w:val="clear" w:color="F9C0AE" w:themeColor="accent3" w:themeTint="98" w:fill="F9C0AE"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9C0AE" w:themeColor="accent3" w:themeTint="98"/>
          <w:right w:val="single" w:sz="4" w:space="0" w:color="FFFFFF" w:themeColor="light1"/>
        </w:tcBorders>
      </w:tcPr>
    </w:tblStylePr>
    <w:tblStylePr w:type="lastCol">
      <w:tblPr/>
      <w:tcPr>
        <w:tcBorders>
          <w:left w:val="single" w:sz="4" w:space="0" w:color="FFFFFF" w:themeColor="light1"/>
          <w:right w:val="single" w:sz="32" w:space="0" w:color="F9C0AE" w:themeColor="accent3" w:themeTint="98"/>
        </w:tcBorders>
      </w:tcPr>
    </w:tblStylePr>
    <w:tblStylePr w:type="band1Vert">
      <w:tblPr/>
      <w:tcPr>
        <w:tcBorders>
          <w:left w:val="single" w:sz="4" w:space="0" w:color="FFFFFF" w:themeColor="light1"/>
          <w:right w:val="single" w:sz="4" w:space="0" w:color="FFFFFF" w:themeColor="light1"/>
        </w:tcBorders>
        <w:shd w:val="clear" w:color="F9C0AE" w:themeColor="accent3" w:themeTint="98" w:fill="F9C0AE"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9C0AE" w:themeColor="accent3" w:themeTint="98" w:fill="F9C0AE" w:themeFill="accent3" w:themeFillTint="98"/>
      </w:tcPr>
    </w:tblStylePr>
    <w:tblStylePr w:type="band2Horz">
      <w:tblPr/>
      <w:tcPr>
        <w:tcBorders>
          <w:top w:val="single" w:sz="4" w:space="0" w:color="FFFFFF" w:themeColor="light1"/>
          <w:bottom w:val="single" w:sz="4" w:space="0" w:color="FFFFFF" w:themeColor="light1"/>
        </w:tcBorders>
        <w:shd w:val="clear" w:color="F9C0AE" w:themeColor="accent3" w:themeTint="98" w:fill="F9C0AE" w:themeFill="accent3" w:themeFillTint="98"/>
      </w:tcPr>
    </w:tblStylePr>
  </w:style>
  <w:style w:type="table" w:customStyle="1" w:styleId="ListTable5Dark-Accent41">
    <w:name w:val="List Table 5 Dark - Accent 41"/>
    <w:basedOn w:val="TableNormal"/>
    <w:uiPriority w:val="99"/>
    <w:pPr>
      <w:spacing w:after="0" w:line="240" w:lineRule="auto"/>
    </w:pPr>
    <w:tblPr>
      <w:tblStyleRowBandSize w:val="1"/>
      <w:tblStyleColBandSize w:val="1"/>
      <w:tblBorders>
        <w:top w:val="single" w:sz="32" w:space="0" w:color="E55770" w:themeColor="accent4" w:themeTint="9A"/>
        <w:left w:val="single" w:sz="32" w:space="0" w:color="E55770" w:themeColor="accent4" w:themeTint="9A"/>
        <w:bottom w:val="single" w:sz="32" w:space="0" w:color="E55770" w:themeColor="accent4" w:themeTint="9A"/>
        <w:right w:val="single" w:sz="32" w:space="0" w:color="E55770" w:themeColor="accent4" w:themeTint="9A"/>
      </w:tblBorders>
      <w:shd w:val="clear" w:color="E55770" w:themeColor="accent4" w:themeTint="9A" w:fill="E55770" w:themeFill="accent4" w:themeFillTint="9A"/>
    </w:tblPr>
    <w:tblStylePr w:type="firstRow">
      <w:rPr>
        <w:rFonts w:ascii="Arial" w:hAnsi="Arial"/>
        <w:b/>
        <w:color w:val="FFFFFF" w:themeColor="light1"/>
        <w:sz w:val="22"/>
      </w:rPr>
      <w:tblPr/>
      <w:tcPr>
        <w:tcBorders>
          <w:top w:val="single" w:sz="32" w:space="0" w:color="E55770" w:themeColor="accent4" w:themeTint="9A"/>
          <w:bottom w:val="single" w:sz="12" w:space="0" w:color="FFFFFF" w:themeColor="light1"/>
        </w:tcBorders>
        <w:shd w:val="clear" w:color="E55770" w:themeColor="accent4" w:themeTint="9A" w:fill="E55770"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E55770" w:themeColor="accent4" w:themeTint="9A"/>
          <w:right w:val="single" w:sz="4" w:space="0" w:color="FFFFFF" w:themeColor="light1"/>
        </w:tcBorders>
      </w:tcPr>
    </w:tblStylePr>
    <w:tblStylePr w:type="lastCol">
      <w:tblPr/>
      <w:tcPr>
        <w:tcBorders>
          <w:left w:val="single" w:sz="4" w:space="0" w:color="FFFFFF" w:themeColor="light1"/>
          <w:right w:val="single" w:sz="32" w:space="0" w:color="E55770" w:themeColor="accent4" w:themeTint="9A"/>
        </w:tcBorders>
      </w:tcPr>
    </w:tblStylePr>
    <w:tblStylePr w:type="band1Vert">
      <w:tblPr/>
      <w:tcPr>
        <w:tcBorders>
          <w:left w:val="single" w:sz="4" w:space="0" w:color="FFFFFF" w:themeColor="light1"/>
          <w:right w:val="single" w:sz="4" w:space="0" w:color="FFFFFF" w:themeColor="light1"/>
        </w:tcBorders>
        <w:shd w:val="clear" w:color="E55770" w:themeColor="accent4" w:themeTint="9A" w:fill="E55770"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55770" w:themeColor="accent4" w:themeTint="9A" w:fill="E55770" w:themeFill="accent4" w:themeFillTint="9A"/>
      </w:tcPr>
    </w:tblStylePr>
    <w:tblStylePr w:type="band2Horz">
      <w:tblPr/>
      <w:tcPr>
        <w:tcBorders>
          <w:top w:val="single" w:sz="4" w:space="0" w:color="FFFFFF" w:themeColor="light1"/>
          <w:bottom w:val="single" w:sz="4" w:space="0" w:color="FFFFFF" w:themeColor="light1"/>
        </w:tcBorders>
        <w:shd w:val="clear" w:color="E55770" w:themeColor="accent4" w:themeTint="9A" w:fill="E55770" w:themeFill="accent4" w:themeFillTint="9A"/>
      </w:tcPr>
    </w:tblStylePr>
  </w:style>
  <w:style w:type="table" w:customStyle="1" w:styleId="ListTable5Dark-Accent51">
    <w:name w:val="List Table 5 Dark - Accent 51"/>
    <w:basedOn w:val="TableNormal"/>
    <w:uiPriority w:val="99"/>
    <w:pPr>
      <w:spacing w:after="0" w:line="240" w:lineRule="auto"/>
    </w:pPr>
    <w:tblPr>
      <w:tblStyleRowBandSize w:val="1"/>
      <w:tblStyleColBandSize w:val="1"/>
      <w:tblBorders>
        <w:top w:val="single" w:sz="32" w:space="0" w:color="24BBF6" w:themeColor="accent5" w:themeTint="9A"/>
        <w:left w:val="single" w:sz="32" w:space="0" w:color="24BBF6" w:themeColor="accent5" w:themeTint="9A"/>
        <w:bottom w:val="single" w:sz="32" w:space="0" w:color="24BBF6" w:themeColor="accent5" w:themeTint="9A"/>
        <w:right w:val="single" w:sz="32" w:space="0" w:color="24BBF6" w:themeColor="accent5" w:themeTint="9A"/>
      </w:tblBorders>
      <w:shd w:val="clear" w:color="24BBF6" w:themeColor="accent5" w:themeTint="9A" w:fill="24BBF6" w:themeFill="accent5" w:themeFillTint="9A"/>
    </w:tblPr>
    <w:tblStylePr w:type="firstRow">
      <w:rPr>
        <w:rFonts w:ascii="Arial" w:hAnsi="Arial"/>
        <w:b/>
        <w:color w:val="FFFFFF" w:themeColor="light1"/>
        <w:sz w:val="22"/>
      </w:rPr>
      <w:tblPr/>
      <w:tcPr>
        <w:tcBorders>
          <w:top w:val="single" w:sz="32" w:space="0" w:color="24BBF6" w:themeColor="accent5" w:themeTint="9A"/>
          <w:bottom w:val="single" w:sz="12" w:space="0" w:color="FFFFFF" w:themeColor="light1"/>
        </w:tcBorders>
        <w:shd w:val="clear" w:color="24BBF6" w:themeColor="accent5" w:themeTint="9A" w:fill="24BBF6"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24BBF6" w:themeColor="accent5" w:themeTint="9A"/>
          <w:right w:val="single" w:sz="4" w:space="0" w:color="FFFFFF" w:themeColor="light1"/>
        </w:tcBorders>
      </w:tcPr>
    </w:tblStylePr>
    <w:tblStylePr w:type="lastCol">
      <w:tblPr/>
      <w:tcPr>
        <w:tcBorders>
          <w:left w:val="single" w:sz="4" w:space="0" w:color="FFFFFF" w:themeColor="light1"/>
          <w:right w:val="single" w:sz="32" w:space="0" w:color="24BBF6" w:themeColor="accent5" w:themeTint="9A"/>
        </w:tcBorders>
      </w:tcPr>
    </w:tblStylePr>
    <w:tblStylePr w:type="band1Vert">
      <w:tblPr/>
      <w:tcPr>
        <w:tcBorders>
          <w:left w:val="single" w:sz="4" w:space="0" w:color="FFFFFF" w:themeColor="light1"/>
          <w:right w:val="single" w:sz="4" w:space="0" w:color="FFFFFF" w:themeColor="light1"/>
        </w:tcBorders>
        <w:shd w:val="clear" w:color="24BBF6" w:themeColor="accent5" w:themeTint="9A" w:fill="24BBF6"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24BBF6" w:themeColor="accent5" w:themeTint="9A" w:fill="24BBF6" w:themeFill="accent5" w:themeFillTint="9A"/>
      </w:tcPr>
    </w:tblStylePr>
    <w:tblStylePr w:type="band2Horz">
      <w:tblPr/>
      <w:tcPr>
        <w:tcBorders>
          <w:top w:val="single" w:sz="4" w:space="0" w:color="FFFFFF" w:themeColor="light1"/>
          <w:bottom w:val="single" w:sz="4" w:space="0" w:color="FFFFFF" w:themeColor="light1"/>
        </w:tcBorders>
        <w:shd w:val="clear" w:color="24BBF6" w:themeColor="accent5" w:themeTint="9A" w:fill="24BBF6" w:themeFill="accent5" w:themeFillTint="9A"/>
      </w:tcPr>
    </w:tblStylePr>
  </w:style>
  <w:style w:type="table" w:customStyle="1" w:styleId="ListTable5Dark-Accent61">
    <w:name w:val="List Table 5 Dark - Accent 61"/>
    <w:basedOn w:val="TableNormal"/>
    <w:uiPriority w:val="99"/>
    <w:pPr>
      <w:spacing w:after="0" w:line="240" w:lineRule="auto"/>
    </w:pPr>
    <w:tblPr>
      <w:tblStyleRowBandSize w:val="1"/>
      <w:tblStyleColBandSize w:val="1"/>
      <w:tblBorders>
        <w:top w:val="single" w:sz="32" w:space="0" w:color="676767" w:themeColor="accent6" w:themeTint="98"/>
        <w:left w:val="single" w:sz="32" w:space="0" w:color="676767" w:themeColor="accent6" w:themeTint="98"/>
        <w:bottom w:val="single" w:sz="32" w:space="0" w:color="676767" w:themeColor="accent6" w:themeTint="98"/>
        <w:right w:val="single" w:sz="32" w:space="0" w:color="676767" w:themeColor="accent6" w:themeTint="98"/>
      </w:tblBorders>
      <w:shd w:val="clear" w:color="676767" w:themeColor="accent6" w:themeTint="98" w:fill="676767" w:themeFill="accent6" w:themeFillTint="98"/>
    </w:tblPr>
    <w:tblStylePr w:type="firstRow">
      <w:rPr>
        <w:rFonts w:ascii="Arial" w:hAnsi="Arial"/>
        <w:b/>
        <w:color w:val="FFFFFF" w:themeColor="light1"/>
        <w:sz w:val="22"/>
      </w:rPr>
      <w:tblPr/>
      <w:tcPr>
        <w:tcBorders>
          <w:top w:val="single" w:sz="32" w:space="0" w:color="676767" w:themeColor="accent6" w:themeTint="98"/>
          <w:bottom w:val="single" w:sz="12" w:space="0" w:color="FFFFFF" w:themeColor="light1"/>
        </w:tcBorders>
        <w:shd w:val="clear" w:color="676767" w:themeColor="accent6" w:themeTint="98" w:fill="676767"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76767" w:themeColor="accent6" w:themeTint="98"/>
          <w:right w:val="single" w:sz="4" w:space="0" w:color="FFFFFF" w:themeColor="light1"/>
        </w:tcBorders>
      </w:tcPr>
    </w:tblStylePr>
    <w:tblStylePr w:type="lastCol">
      <w:tblPr/>
      <w:tcPr>
        <w:tcBorders>
          <w:left w:val="single" w:sz="4" w:space="0" w:color="FFFFFF" w:themeColor="light1"/>
          <w:right w:val="single" w:sz="32" w:space="0" w:color="676767" w:themeColor="accent6" w:themeTint="98"/>
        </w:tcBorders>
      </w:tcPr>
    </w:tblStylePr>
    <w:tblStylePr w:type="band1Vert">
      <w:tblPr/>
      <w:tcPr>
        <w:tcBorders>
          <w:left w:val="single" w:sz="4" w:space="0" w:color="FFFFFF" w:themeColor="light1"/>
          <w:right w:val="single" w:sz="4" w:space="0" w:color="FFFFFF" w:themeColor="light1"/>
        </w:tcBorders>
        <w:shd w:val="clear" w:color="676767" w:themeColor="accent6" w:themeTint="98" w:fill="676767"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76767" w:themeColor="accent6" w:themeTint="98" w:fill="676767" w:themeFill="accent6" w:themeFillTint="98"/>
      </w:tcPr>
    </w:tblStylePr>
    <w:tblStylePr w:type="band2Horz">
      <w:tblPr/>
      <w:tcPr>
        <w:tcBorders>
          <w:top w:val="single" w:sz="4" w:space="0" w:color="FFFFFF" w:themeColor="light1"/>
          <w:bottom w:val="single" w:sz="4" w:space="0" w:color="FFFFFF" w:themeColor="light1"/>
        </w:tcBorders>
        <w:shd w:val="clear" w:color="676767" w:themeColor="accent6" w:themeTint="98" w:fill="676767" w:themeFill="accent6" w:themeFillTint="98"/>
      </w:tcPr>
    </w:tblStylePr>
  </w:style>
  <w:style w:type="table" w:styleId="ListTable6Colorful">
    <w:name w:val="List Table 6 Colorful"/>
    <w:basedOn w:val="Table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pPr>
      <w:spacing w:after="0" w:line="240" w:lineRule="auto"/>
    </w:pPr>
    <w:tblPr>
      <w:tblStyleRowBandSize w:val="1"/>
      <w:tblStyleColBandSize w:val="1"/>
      <w:tblBorders>
        <w:top w:val="single" w:sz="4" w:space="0" w:color="4BA0AF" w:themeColor="accent1"/>
        <w:bottom w:val="single" w:sz="4" w:space="0" w:color="4BA0AF" w:themeColor="accent1"/>
      </w:tblBorders>
    </w:tblPr>
    <w:tblStylePr w:type="firstRow">
      <w:rPr>
        <w:b/>
        <w:color w:val="2B5D66" w:themeColor="accent1" w:themeShade="95"/>
      </w:rPr>
      <w:tblPr/>
      <w:tcPr>
        <w:tcBorders>
          <w:bottom w:val="single" w:sz="4" w:space="0" w:color="4BA0AF" w:themeColor="accent1"/>
        </w:tcBorders>
      </w:tcPr>
    </w:tblStylePr>
    <w:tblStylePr w:type="lastRow">
      <w:rPr>
        <w:b/>
        <w:color w:val="2B5D66" w:themeColor="accent1" w:themeShade="95"/>
      </w:rPr>
      <w:tblPr/>
      <w:tcPr>
        <w:tcBorders>
          <w:top w:val="single" w:sz="4" w:space="0" w:color="4BA0AF" w:themeColor="accent1"/>
        </w:tcBorders>
      </w:tcPr>
    </w:tblStylePr>
    <w:tblStylePr w:type="firstCol">
      <w:rPr>
        <w:b/>
        <w:color w:val="2B5D66" w:themeColor="accent1" w:themeShade="95"/>
      </w:rPr>
    </w:tblStylePr>
    <w:tblStylePr w:type="lastCol">
      <w:rPr>
        <w:b/>
        <w:color w:val="2B5D66" w:themeColor="accent1" w:themeShade="95"/>
      </w:rPr>
    </w:tblStylePr>
    <w:tblStylePr w:type="band1Vert">
      <w:tblPr/>
      <w:tcPr>
        <w:shd w:val="clear" w:color="D1E7EB" w:themeColor="accent1" w:themeTint="40" w:fill="D1E7EB" w:themeFill="accent1" w:themeFillTint="40"/>
      </w:tcPr>
    </w:tblStylePr>
    <w:tblStylePr w:type="band1Horz">
      <w:rPr>
        <w:rFonts w:ascii="Arial" w:hAnsi="Arial"/>
        <w:color w:val="2B5D66" w:themeColor="accent1" w:themeShade="95"/>
        <w:sz w:val="22"/>
      </w:rPr>
      <w:tblPr/>
      <w:tcPr>
        <w:shd w:val="clear" w:color="D1E7EB" w:themeColor="accent1" w:themeTint="40" w:fill="D1E7EB" w:themeFill="accent1" w:themeFillTint="40"/>
      </w:tcPr>
    </w:tblStylePr>
    <w:tblStylePr w:type="band2Horz">
      <w:rPr>
        <w:rFonts w:ascii="Arial" w:hAnsi="Arial"/>
        <w:color w:val="2B5D66" w:themeColor="accent1" w:themeShade="95"/>
        <w:sz w:val="22"/>
      </w:rPr>
    </w:tblStylePr>
  </w:style>
  <w:style w:type="table" w:customStyle="1" w:styleId="ListTable6Colorful-Accent21">
    <w:name w:val="List Table 6 Colorful - Accent 21"/>
    <w:basedOn w:val="TableNormal"/>
    <w:uiPriority w:val="99"/>
    <w:pPr>
      <w:spacing w:after="0" w:line="240" w:lineRule="auto"/>
    </w:pPr>
    <w:tblPr>
      <w:tblStyleRowBandSize w:val="1"/>
      <w:tblStyleColBandSize w:val="1"/>
      <w:tblBorders>
        <w:top w:val="single" w:sz="4" w:space="0" w:color="FF50A9" w:themeColor="accent2" w:themeTint="97"/>
        <w:bottom w:val="single" w:sz="4" w:space="0" w:color="FF50A9" w:themeColor="accent2" w:themeTint="97"/>
      </w:tblBorders>
    </w:tblPr>
    <w:tblStylePr w:type="firstRow">
      <w:rPr>
        <w:b/>
        <w:color w:val="FF50A9" w:themeColor="accent2" w:themeTint="97" w:themeShade="95"/>
      </w:rPr>
      <w:tblPr/>
      <w:tcPr>
        <w:tcBorders>
          <w:bottom w:val="single" w:sz="4" w:space="0" w:color="FF50A9" w:themeColor="accent2" w:themeTint="97"/>
        </w:tcBorders>
      </w:tcPr>
    </w:tblStylePr>
    <w:tblStylePr w:type="lastRow">
      <w:rPr>
        <w:b/>
        <w:color w:val="FF50A9" w:themeColor="accent2" w:themeTint="97" w:themeShade="95"/>
      </w:rPr>
      <w:tblPr/>
      <w:tcPr>
        <w:tcBorders>
          <w:top w:val="single" w:sz="4" w:space="0" w:color="FF50A9" w:themeColor="accent2" w:themeTint="97"/>
        </w:tcBorders>
      </w:tcPr>
    </w:tblStylePr>
    <w:tblStylePr w:type="firstCol">
      <w:rPr>
        <w:b/>
        <w:color w:val="FF50A9" w:themeColor="accent2" w:themeTint="97" w:themeShade="95"/>
      </w:rPr>
    </w:tblStylePr>
    <w:tblStylePr w:type="lastCol">
      <w:rPr>
        <w:b/>
        <w:color w:val="FF50A9" w:themeColor="accent2" w:themeTint="97" w:themeShade="95"/>
      </w:rPr>
    </w:tblStylePr>
    <w:tblStylePr w:type="band1Vert">
      <w:tblPr/>
      <w:tcPr>
        <w:shd w:val="clear" w:color="FFB4DA" w:themeColor="accent2" w:themeTint="40" w:fill="FFB4DA" w:themeFill="accent2" w:themeFillTint="40"/>
      </w:tcPr>
    </w:tblStylePr>
    <w:tblStylePr w:type="band1Horz">
      <w:rPr>
        <w:rFonts w:ascii="Arial" w:hAnsi="Arial"/>
        <w:color w:val="FF50A9" w:themeColor="accent2" w:themeTint="97" w:themeShade="95"/>
        <w:sz w:val="22"/>
      </w:rPr>
      <w:tblPr/>
      <w:tcPr>
        <w:shd w:val="clear" w:color="FFB4DA" w:themeColor="accent2" w:themeTint="40" w:fill="FFB4DA" w:themeFill="accent2" w:themeFillTint="40"/>
      </w:tcPr>
    </w:tblStylePr>
    <w:tblStylePr w:type="band2Horz">
      <w:rPr>
        <w:rFonts w:ascii="Arial" w:hAnsi="Arial"/>
        <w:color w:val="FF50A9" w:themeColor="accent2" w:themeTint="97" w:themeShade="95"/>
        <w:sz w:val="22"/>
      </w:rPr>
    </w:tblStylePr>
  </w:style>
  <w:style w:type="table" w:customStyle="1" w:styleId="ListTable6Colorful-Accent31">
    <w:name w:val="List Table 6 Colorful - Accent 31"/>
    <w:basedOn w:val="TableNormal"/>
    <w:uiPriority w:val="99"/>
    <w:pPr>
      <w:spacing w:after="0" w:line="240" w:lineRule="auto"/>
    </w:pPr>
    <w:tblPr>
      <w:tblStyleRowBandSize w:val="1"/>
      <w:tblStyleColBandSize w:val="1"/>
      <w:tblBorders>
        <w:top w:val="single" w:sz="4" w:space="0" w:color="F9C0AE" w:themeColor="accent3" w:themeTint="98"/>
        <w:bottom w:val="single" w:sz="4" w:space="0" w:color="F9C0AE" w:themeColor="accent3" w:themeTint="98"/>
      </w:tblBorders>
    </w:tblPr>
    <w:tblStylePr w:type="firstRow">
      <w:rPr>
        <w:b/>
        <w:color w:val="F9C0AE" w:themeColor="accent3" w:themeTint="98" w:themeShade="95"/>
      </w:rPr>
      <w:tblPr/>
      <w:tcPr>
        <w:tcBorders>
          <w:bottom w:val="single" w:sz="4" w:space="0" w:color="F9C0AE" w:themeColor="accent3" w:themeTint="98"/>
        </w:tcBorders>
      </w:tcPr>
    </w:tblStylePr>
    <w:tblStylePr w:type="lastRow">
      <w:rPr>
        <w:b/>
        <w:color w:val="F9C0AE" w:themeColor="accent3" w:themeTint="98" w:themeShade="95"/>
      </w:rPr>
      <w:tblPr/>
      <w:tcPr>
        <w:tcBorders>
          <w:top w:val="single" w:sz="4" w:space="0" w:color="F9C0AE" w:themeColor="accent3" w:themeTint="98"/>
        </w:tcBorders>
      </w:tcPr>
    </w:tblStylePr>
    <w:tblStylePr w:type="firstCol">
      <w:rPr>
        <w:b/>
        <w:color w:val="F9C0AE" w:themeColor="accent3" w:themeTint="98" w:themeShade="95"/>
      </w:rPr>
    </w:tblStylePr>
    <w:tblStylePr w:type="lastCol">
      <w:rPr>
        <w:b/>
        <w:color w:val="F9C0AE" w:themeColor="accent3" w:themeTint="98" w:themeShade="95"/>
      </w:rPr>
    </w:tblStylePr>
    <w:tblStylePr w:type="band1Vert">
      <w:tblPr/>
      <w:tcPr>
        <w:shd w:val="clear" w:color="FCE4DC" w:themeColor="accent3" w:themeTint="40" w:fill="FCE4DC" w:themeFill="accent3" w:themeFillTint="40"/>
      </w:tcPr>
    </w:tblStylePr>
    <w:tblStylePr w:type="band1Horz">
      <w:rPr>
        <w:rFonts w:ascii="Arial" w:hAnsi="Arial"/>
        <w:color w:val="F9C0AE" w:themeColor="accent3" w:themeTint="98" w:themeShade="95"/>
        <w:sz w:val="22"/>
      </w:rPr>
      <w:tblPr/>
      <w:tcPr>
        <w:shd w:val="clear" w:color="FCE4DC" w:themeColor="accent3" w:themeTint="40" w:fill="FCE4DC" w:themeFill="accent3" w:themeFillTint="40"/>
      </w:tcPr>
    </w:tblStylePr>
    <w:tblStylePr w:type="band2Horz">
      <w:rPr>
        <w:rFonts w:ascii="Arial" w:hAnsi="Arial"/>
        <w:color w:val="F9C0AE" w:themeColor="accent3" w:themeTint="98" w:themeShade="95"/>
        <w:sz w:val="22"/>
      </w:rPr>
    </w:tblStylePr>
  </w:style>
  <w:style w:type="table" w:customStyle="1" w:styleId="ListTable6Colorful-Accent41">
    <w:name w:val="List Table 6 Colorful - Accent 41"/>
    <w:basedOn w:val="TableNormal"/>
    <w:uiPriority w:val="99"/>
    <w:pPr>
      <w:spacing w:after="0" w:line="240" w:lineRule="auto"/>
    </w:pPr>
    <w:tblPr>
      <w:tblStyleRowBandSize w:val="1"/>
      <w:tblStyleColBandSize w:val="1"/>
      <w:tblBorders>
        <w:top w:val="single" w:sz="4" w:space="0" w:color="E55770" w:themeColor="accent4" w:themeTint="9A"/>
        <w:bottom w:val="single" w:sz="4" w:space="0" w:color="E55770" w:themeColor="accent4" w:themeTint="9A"/>
      </w:tblBorders>
    </w:tblPr>
    <w:tblStylePr w:type="firstRow">
      <w:rPr>
        <w:b/>
        <w:color w:val="E55770" w:themeColor="accent4" w:themeTint="9A" w:themeShade="95"/>
      </w:rPr>
      <w:tblPr/>
      <w:tcPr>
        <w:tcBorders>
          <w:bottom w:val="single" w:sz="4" w:space="0" w:color="E55770" w:themeColor="accent4" w:themeTint="9A"/>
        </w:tcBorders>
      </w:tcPr>
    </w:tblStylePr>
    <w:tblStylePr w:type="lastRow">
      <w:rPr>
        <w:b/>
        <w:color w:val="E55770" w:themeColor="accent4" w:themeTint="9A" w:themeShade="95"/>
      </w:rPr>
      <w:tblPr/>
      <w:tcPr>
        <w:tcBorders>
          <w:top w:val="single" w:sz="4" w:space="0" w:color="E55770" w:themeColor="accent4" w:themeTint="9A"/>
        </w:tcBorders>
      </w:tcPr>
    </w:tblStylePr>
    <w:tblStylePr w:type="firstCol">
      <w:rPr>
        <w:b/>
        <w:color w:val="E55770" w:themeColor="accent4" w:themeTint="9A" w:themeShade="95"/>
      </w:rPr>
    </w:tblStylePr>
    <w:tblStylePr w:type="lastCol">
      <w:rPr>
        <w:b/>
        <w:color w:val="E55770" w:themeColor="accent4" w:themeTint="9A" w:themeShade="95"/>
      </w:rPr>
    </w:tblStylePr>
    <w:tblStylePr w:type="band1Vert">
      <w:tblPr/>
      <w:tcPr>
        <w:shd w:val="clear" w:color="F4B9C3" w:themeColor="accent4" w:themeTint="40" w:fill="F4B9C3" w:themeFill="accent4" w:themeFillTint="40"/>
      </w:tcPr>
    </w:tblStylePr>
    <w:tblStylePr w:type="band1Horz">
      <w:rPr>
        <w:rFonts w:ascii="Arial" w:hAnsi="Arial"/>
        <w:color w:val="E55770" w:themeColor="accent4" w:themeTint="9A" w:themeShade="95"/>
        <w:sz w:val="22"/>
      </w:rPr>
      <w:tblPr/>
      <w:tcPr>
        <w:shd w:val="clear" w:color="F4B9C3" w:themeColor="accent4" w:themeTint="40" w:fill="F4B9C3" w:themeFill="accent4" w:themeFillTint="40"/>
      </w:tcPr>
    </w:tblStylePr>
    <w:tblStylePr w:type="band2Horz">
      <w:rPr>
        <w:rFonts w:ascii="Arial" w:hAnsi="Arial"/>
        <w:color w:val="E55770" w:themeColor="accent4" w:themeTint="9A" w:themeShade="95"/>
        <w:sz w:val="22"/>
      </w:rPr>
    </w:tblStylePr>
  </w:style>
  <w:style w:type="table" w:customStyle="1" w:styleId="ListTable6Colorful-Accent51">
    <w:name w:val="List Table 6 Colorful - Accent 51"/>
    <w:basedOn w:val="TableNormal"/>
    <w:uiPriority w:val="99"/>
    <w:pPr>
      <w:spacing w:after="0" w:line="240" w:lineRule="auto"/>
    </w:pPr>
    <w:tblPr>
      <w:tblStyleRowBandSize w:val="1"/>
      <w:tblStyleColBandSize w:val="1"/>
      <w:tblBorders>
        <w:top w:val="single" w:sz="4" w:space="0" w:color="24BBF6" w:themeColor="accent5" w:themeTint="9A"/>
        <w:bottom w:val="single" w:sz="4" w:space="0" w:color="24BBF6" w:themeColor="accent5" w:themeTint="9A"/>
      </w:tblBorders>
    </w:tblPr>
    <w:tblStylePr w:type="firstRow">
      <w:rPr>
        <w:b/>
        <w:color w:val="24BBF6" w:themeColor="accent5" w:themeTint="9A" w:themeShade="95"/>
      </w:rPr>
      <w:tblPr/>
      <w:tcPr>
        <w:tcBorders>
          <w:bottom w:val="single" w:sz="4" w:space="0" w:color="24BBF6" w:themeColor="accent5" w:themeTint="9A"/>
        </w:tcBorders>
      </w:tcPr>
    </w:tblStylePr>
    <w:tblStylePr w:type="lastRow">
      <w:rPr>
        <w:b/>
        <w:color w:val="24BBF6" w:themeColor="accent5" w:themeTint="9A" w:themeShade="95"/>
      </w:rPr>
      <w:tblPr/>
      <w:tcPr>
        <w:tcBorders>
          <w:top w:val="single" w:sz="4" w:space="0" w:color="24BBF6" w:themeColor="accent5" w:themeTint="9A"/>
        </w:tcBorders>
      </w:tcPr>
    </w:tblStylePr>
    <w:tblStylePr w:type="firstCol">
      <w:rPr>
        <w:b/>
        <w:color w:val="24BBF6" w:themeColor="accent5" w:themeTint="9A" w:themeShade="95"/>
      </w:rPr>
    </w:tblStylePr>
    <w:tblStylePr w:type="lastCol">
      <w:rPr>
        <w:b/>
        <w:color w:val="24BBF6" w:themeColor="accent5" w:themeTint="9A" w:themeShade="95"/>
      </w:rPr>
    </w:tblStylePr>
    <w:tblStylePr w:type="band1Vert">
      <w:tblPr/>
      <w:tcPr>
        <w:shd w:val="clear" w:color="A4E2FB" w:themeColor="accent5" w:themeTint="40" w:fill="A4E2FB" w:themeFill="accent5" w:themeFillTint="40"/>
      </w:tcPr>
    </w:tblStylePr>
    <w:tblStylePr w:type="band1Horz">
      <w:rPr>
        <w:rFonts w:ascii="Arial" w:hAnsi="Arial"/>
        <w:color w:val="24BBF6" w:themeColor="accent5" w:themeTint="9A" w:themeShade="95"/>
        <w:sz w:val="22"/>
      </w:rPr>
      <w:tblPr/>
      <w:tcPr>
        <w:shd w:val="clear" w:color="A4E2FB" w:themeColor="accent5" w:themeTint="40" w:fill="A4E2FB" w:themeFill="accent5" w:themeFillTint="40"/>
      </w:tcPr>
    </w:tblStylePr>
    <w:tblStylePr w:type="band2Horz">
      <w:rPr>
        <w:rFonts w:ascii="Arial" w:hAnsi="Arial"/>
        <w:color w:val="24BBF6" w:themeColor="accent5" w:themeTint="9A" w:themeShade="95"/>
        <w:sz w:val="22"/>
      </w:rPr>
    </w:tblStylePr>
  </w:style>
  <w:style w:type="table" w:customStyle="1" w:styleId="ListTable6Colorful-Accent61">
    <w:name w:val="List Table 6 Colorful - Accent 61"/>
    <w:basedOn w:val="TableNormal"/>
    <w:uiPriority w:val="99"/>
    <w:pPr>
      <w:spacing w:after="0" w:line="240" w:lineRule="auto"/>
    </w:pPr>
    <w:tblPr>
      <w:tblStyleRowBandSize w:val="1"/>
      <w:tblStyleColBandSize w:val="1"/>
      <w:tblBorders>
        <w:top w:val="single" w:sz="4" w:space="0" w:color="676767" w:themeColor="accent6" w:themeTint="98"/>
        <w:bottom w:val="single" w:sz="4" w:space="0" w:color="676767" w:themeColor="accent6" w:themeTint="98"/>
      </w:tblBorders>
    </w:tblPr>
    <w:tblStylePr w:type="firstRow">
      <w:rPr>
        <w:b/>
        <w:color w:val="676767" w:themeColor="accent6" w:themeTint="98" w:themeShade="95"/>
      </w:rPr>
      <w:tblPr/>
      <w:tcPr>
        <w:tcBorders>
          <w:bottom w:val="single" w:sz="4" w:space="0" w:color="676767" w:themeColor="accent6" w:themeTint="98"/>
        </w:tcBorders>
      </w:tcPr>
    </w:tblStylePr>
    <w:tblStylePr w:type="lastRow">
      <w:rPr>
        <w:b/>
        <w:color w:val="676767" w:themeColor="accent6" w:themeTint="98" w:themeShade="95"/>
      </w:rPr>
      <w:tblPr/>
      <w:tcPr>
        <w:tcBorders>
          <w:top w:val="single" w:sz="4" w:space="0" w:color="676767" w:themeColor="accent6" w:themeTint="98"/>
        </w:tcBorders>
      </w:tcPr>
    </w:tblStylePr>
    <w:tblStylePr w:type="firstCol">
      <w:rPr>
        <w:b/>
        <w:color w:val="676767" w:themeColor="accent6" w:themeTint="98" w:themeShade="95"/>
      </w:rPr>
    </w:tblStylePr>
    <w:tblStylePr w:type="lastCol">
      <w:rPr>
        <w:b/>
        <w:color w:val="676767" w:themeColor="accent6" w:themeTint="98" w:themeShade="95"/>
      </w:rPr>
    </w:tblStylePr>
    <w:tblStylePr w:type="band1Vert">
      <w:tblPr/>
      <w:tcPr>
        <w:shd w:val="clear" w:color="BFBFBF" w:themeColor="accent6" w:themeTint="40" w:fill="BFBFBF" w:themeFill="accent6" w:themeFillTint="40"/>
      </w:tcPr>
    </w:tblStylePr>
    <w:tblStylePr w:type="band1Horz">
      <w:rPr>
        <w:rFonts w:ascii="Arial" w:hAnsi="Arial"/>
        <w:color w:val="676767" w:themeColor="accent6" w:themeTint="98" w:themeShade="95"/>
        <w:sz w:val="22"/>
      </w:rPr>
      <w:tblPr/>
      <w:tcPr>
        <w:shd w:val="clear" w:color="BFBFBF" w:themeColor="accent6" w:themeTint="40" w:fill="BFBFBF" w:themeFill="accent6" w:themeFillTint="40"/>
      </w:tcPr>
    </w:tblStylePr>
    <w:tblStylePr w:type="band2Horz">
      <w:rPr>
        <w:rFonts w:ascii="Arial" w:hAnsi="Arial"/>
        <w:color w:val="676767" w:themeColor="accent6" w:themeTint="98" w:themeShade="95"/>
        <w:sz w:val="22"/>
      </w:rPr>
    </w:tblStylePr>
  </w:style>
  <w:style w:type="table" w:styleId="ListTable7Colorful">
    <w:name w:val="List Table 7 Colorful"/>
    <w:basedOn w:val="Table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pPr>
      <w:spacing w:after="0" w:line="240" w:lineRule="auto"/>
    </w:pPr>
    <w:tblPr>
      <w:tblStyleRowBandSize w:val="1"/>
      <w:tblStyleColBandSize w:val="1"/>
      <w:tblBorders>
        <w:right w:val="single" w:sz="4" w:space="0" w:color="4BA0AF" w:themeColor="accent1"/>
      </w:tblBorders>
    </w:tblPr>
    <w:tblStylePr w:type="firstRow">
      <w:rPr>
        <w:rFonts w:ascii="Arial" w:hAnsi="Arial"/>
        <w:i/>
        <w:color w:val="2B5D66" w:themeColor="accent1" w:themeShade="95"/>
        <w:sz w:val="22"/>
      </w:rPr>
      <w:tblPr/>
      <w:tcPr>
        <w:tcBorders>
          <w:top w:val="none" w:sz="0" w:space="0" w:color="000000"/>
          <w:left w:val="none" w:sz="0" w:space="0" w:color="000000"/>
          <w:bottom w:val="single" w:sz="4" w:space="0" w:color="4BA0AF" w:themeColor="accent1"/>
          <w:right w:val="none" w:sz="0" w:space="0" w:color="000000"/>
        </w:tcBorders>
        <w:shd w:val="clear" w:color="FFFFFF" w:themeColor="light1" w:fill="FFFFFF" w:themeFill="light1"/>
      </w:tcPr>
    </w:tblStylePr>
    <w:tblStylePr w:type="lastRow">
      <w:rPr>
        <w:rFonts w:ascii="Arial" w:hAnsi="Arial"/>
        <w:i/>
        <w:color w:val="2B5D66" w:themeColor="accent1" w:themeShade="95"/>
        <w:sz w:val="22"/>
      </w:rPr>
      <w:tblPr/>
      <w:tcPr>
        <w:tcBorders>
          <w:top w:val="single" w:sz="4" w:space="0" w:color="4BA0AF"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B5D66" w:themeColor="accent1" w:themeShade="95"/>
        <w:sz w:val="22"/>
      </w:rPr>
      <w:tblPr/>
      <w:tcPr>
        <w:tcBorders>
          <w:top w:val="none" w:sz="0" w:space="0" w:color="000000"/>
          <w:left w:val="none" w:sz="0" w:space="0" w:color="000000"/>
          <w:bottom w:val="none" w:sz="0" w:space="0" w:color="000000"/>
          <w:right w:val="single" w:sz="4" w:space="0" w:color="4BA0AF" w:themeColor="accent1"/>
        </w:tcBorders>
        <w:shd w:val="clear" w:color="FFFFFF" w:fill="auto"/>
      </w:tcPr>
    </w:tblStylePr>
    <w:tblStylePr w:type="lastCol">
      <w:rPr>
        <w:rFonts w:ascii="Arial" w:hAnsi="Arial"/>
        <w:i/>
        <w:color w:val="2B5D66" w:themeColor="accent1" w:themeShade="95"/>
        <w:sz w:val="22"/>
      </w:rPr>
      <w:tblPr/>
      <w:tcPr>
        <w:tcBorders>
          <w:top w:val="none" w:sz="0" w:space="0" w:color="000000"/>
          <w:left w:val="single" w:sz="4" w:space="0" w:color="4BA0AF" w:themeColor="accent1"/>
          <w:bottom w:val="none" w:sz="0" w:space="0" w:color="000000"/>
          <w:right w:val="none" w:sz="0" w:space="0" w:color="000000"/>
        </w:tcBorders>
        <w:shd w:val="clear" w:color="FFFFFF" w:fill="auto"/>
      </w:tcPr>
    </w:tblStylePr>
    <w:tblStylePr w:type="band1Vert">
      <w:tblPr/>
      <w:tcPr>
        <w:shd w:val="clear" w:color="D1E7EB" w:themeColor="accent1" w:themeTint="40" w:fill="D1E7EB" w:themeFill="accent1" w:themeFillTint="40"/>
      </w:tcPr>
    </w:tblStylePr>
    <w:tblStylePr w:type="band1Horz">
      <w:rPr>
        <w:rFonts w:ascii="Arial" w:hAnsi="Arial"/>
        <w:color w:val="2B5D66" w:themeColor="accent1" w:themeShade="95"/>
        <w:sz w:val="22"/>
      </w:rPr>
      <w:tblPr/>
      <w:tcPr>
        <w:shd w:val="clear" w:color="D1E7EB" w:themeColor="accent1" w:themeTint="40" w:fill="D1E7EB" w:themeFill="accent1" w:themeFillTint="40"/>
      </w:tcPr>
    </w:tblStylePr>
    <w:tblStylePr w:type="band2Horz">
      <w:rPr>
        <w:rFonts w:ascii="Arial" w:hAnsi="Arial"/>
        <w:color w:val="2B5D66" w:themeColor="accent1" w:themeShade="95"/>
        <w:sz w:val="22"/>
      </w:rPr>
    </w:tblStylePr>
  </w:style>
  <w:style w:type="table" w:customStyle="1" w:styleId="ListTable7Colorful-Accent21">
    <w:name w:val="List Table 7 Colorful - Accent 21"/>
    <w:basedOn w:val="TableNormal"/>
    <w:uiPriority w:val="99"/>
    <w:pPr>
      <w:spacing w:after="0" w:line="240" w:lineRule="auto"/>
    </w:pPr>
    <w:tblPr>
      <w:tblStyleRowBandSize w:val="1"/>
      <w:tblStyleColBandSize w:val="1"/>
      <w:tblBorders>
        <w:right w:val="single" w:sz="4" w:space="0" w:color="FF50A9" w:themeColor="accent2" w:themeTint="97"/>
      </w:tblBorders>
    </w:tblPr>
    <w:tblStylePr w:type="firstRow">
      <w:rPr>
        <w:rFonts w:ascii="Arial" w:hAnsi="Arial"/>
        <w:i/>
        <w:color w:val="FF50A9" w:themeColor="accent2" w:themeTint="97" w:themeShade="95"/>
        <w:sz w:val="22"/>
      </w:rPr>
      <w:tblPr/>
      <w:tcPr>
        <w:tcBorders>
          <w:top w:val="none" w:sz="0" w:space="0" w:color="000000"/>
          <w:left w:val="none" w:sz="0" w:space="0" w:color="000000"/>
          <w:bottom w:val="single" w:sz="4" w:space="0" w:color="FF50A9" w:themeColor="accent2" w:themeTint="97"/>
          <w:right w:val="none" w:sz="0" w:space="0" w:color="000000"/>
        </w:tcBorders>
        <w:shd w:val="clear" w:color="FFFFFF" w:themeColor="light1" w:fill="FFFFFF" w:themeFill="light1"/>
      </w:tcPr>
    </w:tblStylePr>
    <w:tblStylePr w:type="lastRow">
      <w:rPr>
        <w:rFonts w:ascii="Arial" w:hAnsi="Arial"/>
        <w:i/>
        <w:color w:val="FF50A9" w:themeColor="accent2" w:themeTint="97" w:themeShade="95"/>
        <w:sz w:val="22"/>
      </w:rPr>
      <w:tblPr/>
      <w:tcPr>
        <w:tcBorders>
          <w:top w:val="single" w:sz="4" w:space="0" w:color="FF50A9"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50A9" w:themeColor="accent2" w:themeTint="97" w:themeShade="95"/>
        <w:sz w:val="22"/>
      </w:rPr>
      <w:tblPr/>
      <w:tcPr>
        <w:tcBorders>
          <w:top w:val="none" w:sz="0" w:space="0" w:color="000000"/>
          <w:left w:val="none" w:sz="0" w:space="0" w:color="000000"/>
          <w:bottom w:val="none" w:sz="0" w:space="0" w:color="000000"/>
          <w:right w:val="single" w:sz="4" w:space="0" w:color="FF50A9" w:themeColor="accent2" w:themeTint="97"/>
        </w:tcBorders>
        <w:shd w:val="clear" w:color="FFFFFF" w:fill="auto"/>
      </w:tcPr>
    </w:tblStylePr>
    <w:tblStylePr w:type="lastCol">
      <w:rPr>
        <w:rFonts w:ascii="Arial" w:hAnsi="Arial"/>
        <w:i/>
        <w:color w:val="FF50A9" w:themeColor="accent2" w:themeTint="97" w:themeShade="95"/>
        <w:sz w:val="22"/>
      </w:rPr>
      <w:tblPr/>
      <w:tcPr>
        <w:tcBorders>
          <w:top w:val="none" w:sz="0" w:space="0" w:color="000000"/>
          <w:left w:val="single" w:sz="4" w:space="0" w:color="FF50A9" w:themeColor="accent2" w:themeTint="97"/>
          <w:bottom w:val="none" w:sz="0" w:space="0" w:color="000000"/>
          <w:right w:val="none" w:sz="0" w:space="0" w:color="000000"/>
        </w:tcBorders>
        <w:shd w:val="clear" w:color="FFFFFF" w:fill="auto"/>
      </w:tcPr>
    </w:tblStylePr>
    <w:tblStylePr w:type="band1Vert">
      <w:tblPr/>
      <w:tcPr>
        <w:shd w:val="clear" w:color="FFB4DA" w:themeColor="accent2" w:themeTint="40" w:fill="FFB4DA" w:themeFill="accent2" w:themeFillTint="40"/>
      </w:tcPr>
    </w:tblStylePr>
    <w:tblStylePr w:type="band1Horz">
      <w:rPr>
        <w:rFonts w:ascii="Arial" w:hAnsi="Arial"/>
        <w:color w:val="FF50A9" w:themeColor="accent2" w:themeTint="97" w:themeShade="95"/>
        <w:sz w:val="22"/>
      </w:rPr>
      <w:tblPr/>
      <w:tcPr>
        <w:shd w:val="clear" w:color="FFB4DA" w:themeColor="accent2" w:themeTint="40" w:fill="FFB4DA" w:themeFill="accent2" w:themeFillTint="40"/>
      </w:tcPr>
    </w:tblStylePr>
    <w:tblStylePr w:type="band2Horz">
      <w:rPr>
        <w:rFonts w:ascii="Arial" w:hAnsi="Arial"/>
        <w:color w:val="FF50A9" w:themeColor="accent2" w:themeTint="97" w:themeShade="95"/>
        <w:sz w:val="22"/>
      </w:rPr>
    </w:tblStylePr>
  </w:style>
  <w:style w:type="table" w:customStyle="1" w:styleId="ListTable7Colorful-Accent31">
    <w:name w:val="List Table 7 Colorful - Accent 31"/>
    <w:basedOn w:val="TableNormal"/>
    <w:uiPriority w:val="99"/>
    <w:pPr>
      <w:spacing w:after="0" w:line="240" w:lineRule="auto"/>
    </w:pPr>
    <w:tblPr>
      <w:tblStyleRowBandSize w:val="1"/>
      <w:tblStyleColBandSize w:val="1"/>
      <w:tblBorders>
        <w:right w:val="single" w:sz="4" w:space="0" w:color="F9C0AE" w:themeColor="accent3" w:themeTint="98"/>
      </w:tblBorders>
    </w:tblPr>
    <w:tblStylePr w:type="firstRow">
      <w:rPr>
        <w:rFonts w:ascii="Arial" w:hAnsi="Arial"/>
        <w:i/>
        <w:color w:val="F9C0AE" w:themeColor="accent3" w:themeTint="98" w:themeShade="95"/>
        <w:sz w:val="22"/>
      </w:rPr>
      <w:tblPr/>
      <w:tcPr>
        <w:tcBorders>
          <w:top w:val="none" w:sz="0" w:space="0" w:color="000000"/>
          <w:left w:val="none" w:sz="0" w:space="0" w:color="000000"/>
          <w:bottom w:val="single" w:sz="4" w:space="0" w:color="F9C0AE" w:themeColor="accent3" w:themeTint="98"/>
          <w:right w:val="none" w:sz="0" w:space="0" w:color="000000"/>
        </w:tcBorders>
        <w:shd w:val="clear" w:color="FFFFFF" w:themeColor="light1" w:fill="FFFFFF" w:themeFill="light1"/>
      </w:tcPr>
    </w:tblStylePr>
    <w:tblStylePr w:type="lastRow">
      <w:rPr>
        <w:rFonts w:ascii="Arial" w:hAnsi="Arial"/>
        <w:i/>
        <w:color w:val="F9C0AE" w:themeColor="accent3" w:themeTint="98" w:themeShade="95"/>
        <w:sz w:val="22"/>
      </w:rPr>
      <w:tblPr/>
      <w:tcPr>
        <w:tcBorders>
          <w:top w:val="single" w:sz="4" w:space="0" w:color="F9C0AE"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9C0AE" w:themeColor="accent3" w:themeTint="98" w:themeShade="95"/>
        <w:sz w:val="22"/>
      </w:rPr>
      <w:tblPr/>
      <w:tcPr>
        <w:tcBorders>
          <w:top w:val="none" w:sz="0" w:space="0" w:color="000000"/>
          <w:left w:val="none" w:sz="0" w:space="0" w:color="000000"/>
          <w:bottom w:val="none" w:sz="0" w:space="0" w:color="000000"/>
          <w:right w:val="single" w:sz="4" w:space="0" w:color="F9C0AE" w:themeColor="accent3" w:themeTint="98"/>
        </w:tcBorders>
        <w:shd w:val="clear" w:color="FFFFFF" w:fill="auto"/>
      </w:tcPr>
    </w:tblStylePr>
    <w:tblStylePr w:type="lastCol">
      <w:rPr>
        <w:rFonts w:ascii="Arial" w:hAnsi="Arial"/>
        <w:i/>
        <w:color w:val="F9C0AE" w:themeColor="accent3" w:themeTint="98" w:themeShade="95"/>
        <w:sz w:val="22"/>
      </w:rPr>
      <w:tblPr/>
      <w:tcPr>
        <w:tcBorders>
          <w:top w:val="none" w:sz="0" w:space="0" w:color="000000"/>
          <w:left w:val="single" w:sz="4" w:space="0" w:color="F9C0AE" w:themeColor="accent3" w:themeTint="98"/>
          <w:bottom w:val="none" w:sz="0" w:space="0" w:color="000000"/>
          <w:right w:val="none" w:sz="0" w:space="0" w:color="000000"/>
        </w:tcBorders>
        <w:shd w:val="clear" w:color="FFFFFF" w:fill="auto"/>
      </w:tcPr>
    </w:tblStylePr>
    <w:tblStylePr w:type="band1Vert">
      <w:tblPr/>
      <w:tcPr>
        <w:shd w:val="clear" w:color="FCE4DC" w:themeColor="accent3" w:themeTint="40" w:fill="FCE4DC" w:themeFill="accent3" w:themeFillTint="40"/>
      </w:tcPr>
    </w:tblStylePr>
    <w:tblStylePr w:type="band1Horz">
      <w:rPr>
        <w:rFonts w:ascii="Arial" w:hAnsi="Arial"/>
        <w:color w:val="F9C0AE" w:themeColor="accent3" w:themeTint="98" w:themeShade="95"/>
        <w:sz w:val="22"/>
      </w:rPr>
      <w:tblPr/>
      <w:tcPr>
        <w:shd w:val="clear" w:color="FCE4DC" w:themeColor="accent3" w:themeTint="40" w:fill="FCE4DC" w:themeFill="accent3" w:themeFillTint="40"/>
      </w:tcPr>
    </w:tblStylePr>
    <w:tblStylePr w:type="band2Horz">
      <w:rPr>
        <w:rFonts w:ascii="Arial" w:hAnsi="Arial"/>
        <w:color w:val="F9C0AE" w:themeColor="accent3" w:themeTint="98" w:themeShade="95"/>
        <w:sz w:val="22"/>
      </w:rPr>
    </w:tblStylePr>
  </w:style>
  <w:style w:type="table" w:customStyle="1" w:styleId="ListTable7Colorful-Accent41">
    <w:name w:val="List Table 7 Colorful - Accent 41"/>
    <w:basedOn w:val="TableNormal"/>
    <w:uiPriority w:val="99"/>
    <w:pPr>
      <w:spacing w:after="0" w:line="240" w:lineRule="auto"/>
    </w:pPr>
    <w:tblPr>
      <w:tblStyleRowBandSize w:val="1"/>
      <w:tblStyleColBandSize w:val="1"/>
      <w:tblBorders>
        <w:right w:val="single" w:sz="4" w:space="0" w:color="E55770" w:themeColor="accent4" w:themeTint="9A"/>
      </w:tblBorders>
    </w:tblPr>
    <w:tblStylePr w:type="firstRow">
      <w:rPr>
        <w:rFonts w:ascii="Arial" w:hAnsi="Arial"/>
        <w:i/>
        <w:color w:val="E55770" w:themeColor="accent4" w:themeTint="9A" w:themeShade="95"/>
        <w:sz w:val="22"/>
      </w:rPr>
      <w:tblPr/>
      <w:tcPr>
        <w:tcBorders>
          <w:top w:val="none" w:sz="0" w:space="0" w:color="000000"/>
          <w:left w:val="none" w:sz="0" w:space="0" w:color="000000"/>
          <w:bottom w:val="single" w:sz="4" w:space="0" w:color="E55770" w:themeColor="accent4" w:themeTint="9A"/>
          <w:right w:val="none" w:sz="0" w:space="0" w:color="000000"/>
        </w:tcBorders>
        <w:shd w:val="clear" w:color="FFFFFF" w:themeColor="light1" w:fill="FFFFFF" w:themeFill="light1"/>
      </w:tcPr>
    </w:tblStylePr>
    <w:tblStylePr w:type="lastRow">
      <w:rPr>
        <w:rFonts w:ascii="Arial" w:hAnsi="Arial"/>
        <w:i/>
        <w:color w:val="E55770" w:themeColor="accent4" w:themeTint="9A" w:themeShade="95"/>
        <w:sz w:val="22"/>
      </w:rPr>
      <w:tblPr/>
      <w:tcPr>
        <w:tcBorders>
          <w:top w:val="single" w:sz="4" w:space="0" w:color="E55770"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E55770" w:themeColor="accent4" w:themeTint="9A" w:themeShade="95"/>
        <w:sz w:val="22"/>
      </w:rPr>
      <w:tblPr/>
      <w:tcPr>
        <w:tcBorders>
          <w:top w:val="none" w:sz="0" w:space="0" w:color="000000"/>
          <w:left w:val="none" w:sz="0" w:space="0" w:color="000000"/>
          <w:bottom w:val="none" w:sz="0" w:space="0" w:color="000000"/>
          <w:right w:val="single" w:sz="4" w:space="0" w:color="E55770" w:themeColor="accent4" w:themeTint="9A"/>
        </w:tcBorders>
        <w:shd w:val="clear" w:color="FFFFFF" w:fill="auto"/>
      </w:tcPr>
    </w:tblStylePr>
    <w:tblStylePr w:type="lastCol">
      <w:rPr>
        <w:rFonts w:ascii="Arial" w:hAnsi="Arial"/>
        <w:i/>
        <w:color w:val="E55770" w:themeColor="accent4" w:themeTint="9A" w:themeShade="95"/>
        <w:sz w:val="22"/>
      </w:rPr>
      <w:tblPr/>
      <w:tcPr>
        <w:tcBorders>
          <w:top w:val="none" w:sz="0" w:space="0" w:color="000000"/>
          <w:left w:val="single" w:sz="4" w:space="0" w:color="E55770" w:themeColor="accent4" w:themeTint="9A"/>
          <w:bottom w:val="none" w:sz="0" w:space="0" w:color="000000"/>
          <w:right w:val="none" w:sz="0" w:space="0" w:color="000000"/>
        </w:tcBorders>
        <w:shd w:val="clear" w:color="FFFFFF" w:fill="auto"/>
      </w:tcPr>
    </w:tblStylePr>
    <w:tblStylePr w:type="band1Vert">
      <w:tblPr/>
      <w:tcPr>
        <w:shd w:val="clear" w:color="F4B9C3" w:themeColor="accent4" w:themeTint="40" w:fill="F4B9C3" w:themeFill="accent4" w:themeFillTint="40"/>
      </w:tcPr>
    </w:tblStylePr>
    <w:tblStylePr w:type="band1Horz">
      <w:rPr>
        <w:rFonts w:ascii="Arial" w:hAnsi="Arial"/>
        <w:color w:val="E55770" w:themeColor="accent4" w:themeTint="9A" w:themeShade="95"/>
        <w:sz w:val="22"/>
      </w:rPr>
      <w:tblPr/>
      <w:tcPr>
        <w:shd w:val="clear" w:color="F4B9C3" w:themeColor="accent4" w:themeTint="40" w:fill="F4B9C3" w:themeFill="accent4" w:themeFillTint="40"/>
      </w:tcPr>
    </w:tblStylePr>
    <w:tblStylePr w:type="band2Horz">
      <w:rPr>
        <w:rFonts w:ascii="Arial" w:hAnsi="Arial"/>
        <w:color w:val="E55770" w:themeColor="accent4" w:themeTint="9A" w:themeShade="95"/>
        <w:sz w:val="22"/>
      </w:rPr>
    </w:tblStylePr>
  </w:style>
  <w:style w:type="table" w:customStyle="1" w:styleId="ListTable7Colorful-Accent51">
    <w:name w:val="List Table 7 Colorful - Accent 51"/>
    <w:basedOn w:val="TableNormal"/>
    <w:uiPriority w:val="99"/>
    <w:pPr>
      <w:spacing w:after="0" w:line="240" w:lineRule="auto"/>
    </w:pPr>
    <w:tblPr>
      <w:tblStyleRowBandSize w:val="1"/>
      <w:tblStyleColBandSize w:val="1"/>
      <w:tblBorders>
        <w:right w:val="single" w:sz="4" w:space="0" w:color="24BBF6" w:themeColor="accent5" w:themeTint="9A"/>
      </w:tblBorders>
    </w:tblPr>
    <w:tblStylePr w:type="firstRow">
      <w:rPr>
        <w:rFonts w:ascii="Arial" w:hAnsi="Arial"/>
        <w:i/>
        <w:color w:val="24BBF6" w:themeColor="accent5" w:themeTint="9A" w:themeShade="95"/>
        <w:sz w:val="22"/>
      </w:rPr>
      <w:tblPr/>
      <w:tcPr>
        <w:tcBorders>
          <w:top w:val="none" w:sz="0" w:space="0" w:color="000000"/>
          <w:left w:val="none" w:sz="0" w:space="0" w:color="000000"/>
          <w:bottom w:val="single" w:sz="4" w:space="0" w:color="24BBF6" w:themeColor="accent5" w:themeTint="9A"/>
          <w:right w:val="none" w:sz="0" w:space="0" w:color="000000"/>
        </w:tcBorders>
        <w:shd w:val="clear" w:color="FFFFFF" w:themeColor="light1" w:fill="FFFFFF" w:themeFill="light1"/>
      </w:tcPr>
    </w:tblStylePr>
    <w:tblStylePr w:type="lastRow">
      <w:rPr>
        <w:rFonts w:ascii="Arial" w:hAnsi="Arial"/>
        <w:i/>
        <w:color w:val="24BBF6" w:themeColor="accent5" w:themeTint="9A" w:themeShade="95"/>
        <w:sz w:val="22"/>
      </w:rPr>
      <w:tblPr/>
      <w:tcPr>
        <w:tcBorders>
          <w:top w:val="single" w:sz="4" w:space="0" w:color="24BBF6"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BBF6" w:themeColor="accent5" w:themeTint="9A" w:themeShade="95"/>
        <w:sz w:val="22"/>
      </w:rPr>
      <w:tblPr/>
      <w:tcPr>
        <w:tcBorders>
          <w:top w:val="none" w:sz="0" w:space="0" w:color="000000"/>
          <w:left w:val="none" w:sz="0" w:space="0" w:color="000000"/>
          <w:bottom w:val="none" w:sz="0" w:space="0" w:color="000000"/>
          <w:right w:val="single" w:sz="4" w:space="0" w:color="24BBF6" w:themeColor="accent5" w:themeTint="9A"/>
        </w:tcBorders>
        <w:shd w:val="clear" w:color="FFFFFF" w:fill="auto"/>
      </w:tcPr>
    </w:tblStylePr>
    <w:tblStylePr w:type="lastCol">
      <w:rPr>
        <w:rFonts w:ascii="Arial" w:hAnsi="Arial"/>
        <w:i/>
        <w:color w:val="24BBF6" w:themeColor="accent5" w:themeTint="9A" w:themeShade="95"/>
        <w:sz w:val="22"/>
      </w:rPr>
      <w:tblPr/>
      <w:tcPr>
        <w:tcBorders>
          <w:top w:val="none" w:sz="0" w:space="0" w:color="000000"/>
          <w:left w:val="single" w:sz="4" w:space="0" w:color="24BBF6" w:themeColor="accent5" w:themeTint="9A"/>
          <w:bottom w:val="none" w:sz="0" w:space="0" w:color="000000"/>
          <w:right w:val="none" w:sz="0" w:space="0" w:color="000000"/>
        </w:tcBorders>
        <w:shd w:val="clear" w:color="FFFFFF" w:fill="auto"/>
      </w:tcPr>
    </w:tblStylePr>
    <w:tblStylePr w:type="band1Vert">
      <w:tblPr/>
      <w:tcPr>
        <w:shd w:val="clear" w:color="A4E2FB" w:themeColor="accent5" w:themeTint="40" w:fill="A4E2FB" w:themeFill="accent5" w:themeFillTint="40"/>
      </w:tcPr>
    </w:tblStylePr>
    <w:tblStylePr w:type="band1Horz">
      <w:rPr>
        <w:rFonts w:ascii="Arial" w:hAnsi="Arial"/>
        <w:color w:val="24BBF6" w:themeColor="accent5" w:themeTint="9A" w:themeShade="95"/>
        <w:sz w:val="22"/>
      </w:rPr>
      <w:tblPr/>
      <w:tcPr>
        <w:shd w:val="clear" w:color="A4E2FB" w:themeColor="accent5" w:themeTint="40" w:fill="A4E2FB" w:themeFill="accent5" w:themeFillTint="40"/>
      </w:tcPr>
    </w:tblStylePr>
    <w:tblStylePr w:type="band2Horz">
      <w:rPr>
        <w:rFonts w:ascii="Arial" w:hAnsi="Arial"/>
        <w:color w:val="24BBF6" w:themeColor="accent5" w:themeTint="9A" w:themeShade="95"/>
        <w:sz w:val="22"/>
      </w:rPr>
    </w:tblStylePr>
  </w:style>
  <w:style w:type="table" w:customStyle="1" w:styleId="ListTable7Colorful-Accent61">
    <w:name w:val="List Table 7 Colorful - Accent 61"/>
    <w:basedOn w:val="TableNormal"/>
    <w:uiPriority w:val="99"/>
    <w:pPr>
      <w:spacing w:after="0" w:line="240" w:lineRule="auto"/>
    </w:pPr>
    <w:tblPr>
      <w:tblStyleRowBandSize w:val="1"/>
      <w:tblStyleColBandSize w:val="1"/>
      <w:tblBorders>
        <w:right w:val="single" w:sz="4" w:space="0" w:color="676767" w:themeColor="accent6" w:themeTint="98"/>
      </w:tblBorders>
    </w:tblPr>
    <w:tblStylePr w:type="firstRow">
      <w:rPr>
        <w:rFonts w:ascii="Arial" w:hAnsi="Arial"/>
        <w:i/>
        <w:color w:val="676767" w:themeColor="accent6" w:themeTint="98" w:themeShade="95"/>
        <w:sz w:val="22"/>
      </w:rPr>
      <w:tblPr/>
      <w:tcPr>
        <w:tcBorders>
          <w:top w:val="none" w:sz="0" w:space="0" w:color="000000"/>
          <w:left w:val="none" w:sz="0" w:space="0" w:color="000000"/>
          <w:bottom w:val="single" w:sz="4" w:space="0" w:color="676767" w:themeColor="accent6" w:themeTint="98"/>
          <w:right w:val="none" w:sz="0" w:space="0" w:color="000000"/>
        </w:tcBorders>
        <w:shd w:val="clear" w:color="FFFFFF" w:themeColor="light1" w:fill="FFFFFF" w:themeFill="light1"/>
      </w:tcPr>
    </w:tblStylePr>
    <w:tblStylePr w:type="lastRow">
      <w:rPr>
        <w:rFonts w:ascii="Arial" w:hAnsi="Arial"/>
        <w:i/>
        <w:color w:val="676767" w:themeColor="accent6" w:themeTint="98" w:themeShade="95"/>
        <w:sz w:val="22"/>
      </w:rPr>
      <w:tblPr/>
      <w:tcPr>
        <w:tcBorders>
          <w:top w:val="single" w:sz="4" w:space="0" w:color="676767"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676767" w:themeColor="accent6" w:themeTint="98" w:themeShade="95"/>
        <w:sz w:val="22"/>
      </w:rPr>
      <w:tblPr/>
      <w:tcPr>
        <w:tcBorders>
          <w:top w:val="none" w:sz="0" w:space="0" w:color="000000"/>
          <w:left w:val="none" w:sz="0" w:space="0" w:color="000000"/>
          <w:bottom w:val="none" w:sz="0" w:space="0" w:color="000000"/>
          <w:right w:val="single" w:sz="4" w:space="0" w:color="676767" w:themeColor="accent6" w:themeTint="98"/>
        </w:tcBorders>
        <w:shd w:val="clear" w:color="FFFFFF" w:fill="auto"/>
      </w:tcPr>
    </w:tblStylePr>
    <w:tblStylePr w:type="lastCol">
      <w:rPr>
        <w:rFonts w:ascii="Arial" w:hAnsi="Arial"/>
        <w:i/>
        <w:color w:val="676767" w:themeColor="accent6" w:themeTint="98" w:themeShade="95"/>
        <w:sz w:val="22"/>
      </w:rPr>
      <w:tblPr/>
      <w:tcPr>
        <w:tcBorders>
          <w:top w:val="none" w:sz="0" w:space="0" w:color="000000"/>
          <w:left w:val="single" w:sz="4" w:space="0" w:color="676767" w:themeColor="accent6" w:themeTint="98"/>
          <w:bottom w:val="none" w:sz="0" w:space="0" w:color="000000"/>
          <w:right w:val="none" w:sz="0" w:space="0" w:color="000000"/>
        </w:tcBorders>
        <w:shd w:val="clear" w:color="FFFFFF" w:fill="auto"/>
      </w:tcPr>
    </w:tblStylePr>
    <w:tblStylePr w:type="band1Vert">
      <w:tblPr/>
      <w:tcPr>
        <w:shd w:val="clear" w:color="BFBFBF" w:themeColor="accent6" w:themeTint="40" w:fill="BFBFBF" w:themeFill="accent6" w:themeFillTint="40"/>
      </w:tcPr>
    </w:tblStylePr>
    <w:tblStylePr w:type="band1Horz">
      <w:rPr>
        <w:rFonts w:ascii="Arial" w:hAnsi="Arial"/>
        <w:color w:val="676767" w:themeColor="accent6" w:themeTint="98" w:themeShade="95"/>
        <w:sz w:val="22"/>
      </w:rPr>
      <w:tblPr/>
      <w:tcPr>
        <w:shd w:val="clear" w:color="BFBFBF" w:themeColor="accent6" w:themeTint="40" w:fill="BFBFBF" w:themeFill="accent6" w:themeFillTint="40"/>
      </w:tcPr>
    </w:tblStylePr>
    <w:tblStylePr w:type="band2Horz">
      <w:rPr>
        <w:rFonts w:ascii="Arial" w:hAnsi="Arial"/>
        <w:color w:val="676767" w:themeColor="accent6" w:themeTint="98" w:themeShade="95"/>
        <w:sz w:val="22"/>
      </w:rPr>
    </w:tblStylePr>
  </w:style>
  <w:style w:type="table" w:customStyle="1" w:styleId="Lined-Accent">
    <w:name w:val="Lined - Accent"/>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7A8B7" w:themeColor="accent1" w:themeTint="EA" w:fill="57A8B7" w:themeFill="accent1" w:themeFillTint="EA"/>
      </w:tcPr>
    </w:tblStylePr>
    <w:tblStylePr w:type="lastRow">
      <w:rPr>
        <w:rFonts w:ascii="Arial" w:hAnsi="Arial"/>
        <w:color w:val="F2F2F2"/>
        <w:sz w:val="22"/>
      </w:rPr>
      <w:tblPr/>
      <w:tcPr>
        <w:shd w:val="clear" w:color="57A8B7" w:themeColor="accent1" w:themeTint="EA" w:fill="57A8B7" w:themeFill="accent1" w:themeFillTint="EA"/>
      </w:tcPr>
    </w:tblStylePr>
    <w:tblStylePr w:type="firstCol">
      <w:rPr>
        <w:rFonts w:ascii="Arial" w:hAnsi="Arial"/>
        <w:color w:val="F2F2F2"/>
        <w:sz w:val="22"/>
      </w:rPr>
      <w:tblPr/>
      <w:tcPr>
        <w:shd w:val="clear" w:color="57A8B7" w:themeColor="accent1" w:themeTint="EA" w:fill="57A8B7" w:themeFill="accent1" w:themeFillTint="EA"/>
      </w:tcPr>
    </w:tblStylePr>
    <w:tblStylePr w:type="lastCol">
      <w:rPr>
        <w:rFonts w:ascii="Arial" w:hAnsi="Arial"/>
        <w:color w:val="F2F2F2"/>
        <w:sz w:val="22"/>
      </w:rPr>
      <w:tblPr/>
      <w:tcPr>
        <w:shd w:val="clear" w:color="57A8B7" w:themeColor="accent1" w:themeTint="EA" w:fill="57A8B7"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5E1E6" w:themeColor="accent1" w:themeTint="50" w:fill="C5E1E6"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5E1E6" w:themeColor="accent1" w:themeTint="50" w:fill="C5E1E6" w:themeFill="accent1" w:themeFillTint="50"/>
      </w:tcPr>
    </w:tblStylePr>
  </w:style>
  <w:style w:type="table" w:customStyle="1" w:styleId="Lined-Accent2">
    <w:name w:val="Lined - Accent 2"/>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50A9" w:themeColor="accent2" w:themeTint="97" w:fill="FF50A9" w:themeFill="accent2" w:themeFillTint="97"/>
      </w:tcPr>
    </w:tblStylePr>
    <w:tblStylePr w:type="lastRow">
      <w:rPr>
        <w:rFonts w:ascii="Arial" w:hAnsi="Arial"/>
        <w:color w:val="F2F2F2"/>
        <w:sz w:val="22"/>
      </w:rPr>
      <w:tblPr/>
      <w:tcPr>
        <w:shd w:val="clear" w:color="FF50A9" w:themeColor="accent2" w:themeTint="97" w:fill="FF50A9" w:themeFill="accent2" w:themeFillTint="97"/>
      </w:tcPr>
    </w:tblStylePr>
    <w:tblStylePr w:type="firstCol">
      <w:rPr>
        <w:rFonts w:ascii="Arial" w:hAnsi="Arial"/>
        <w:color w:val="F2F2F2"/>
        <w:sz w:val="22"/>
      </w:rPr>
      <w:tblPr/>
      <w:tcPr>
        <w:shd w:val="clear" w:color="FF50A9" w:themeColor="accent2" w:themeTint="97" w:fill="FF50A9" w:themeFill="accent2" w:themeFillTint="97"/>
      </w:tcPr>
    </w:tblStylePr>
    <w:tblStylePr w:type="lastCol">
      <w:rPr>
        <w:rFonts w:ascii="Arial" w:hAnsi="Arial"/>
        <w:color w:val="F2F2F2"/>
        <w:sz w:val="22"/>
      </w:rPr>
      <w:tblPr/>
      <w:tcPr>
        <w:shd w:val="clear" w:color="FF50A9" w:themeColor="accent2" w:themeTint="97" w:fill="FF50A9"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C5E2" w:themeColor="accent2" w:themeTint="32" w:fill="FFC5E2"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C5E2" w:themeColor="accent2" w:themeTint="32" w:fill="FFC5E2" w:themeFill="accent2" w:themeFillTint="32"/>
      </w:tcPr>
    </w:tblStylePr>
  </w:style>
  <w:style w:type="table" w:customStyle="1" w:styleId="Lined-Accent3">
    <w:name w:val="Lined - Accent 3"/>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59678" w:themeColor="accent3" w:themeTint="FE" w:fill="F59678" w:themeFill="accent3" w:themeFillTint="FE"/>
      </w:tcPr>
    </w:tblStylePr>
    <w:tblStylePr w:type="lastRow">
      <w:rPr>
        <w:rFonts w:ascii="Arial" w:hAnsi="Arial"/>
        <w:color w:val="F2F2F2"/>
        <w:sz w:val="22"/>
      </w:rPr>
      <w:tblPr/>
      <w:tcPr>
        <w:shd w:val="clear" w:color="F59678" w:themeColor="accent3" w:themeTint="FE" w:fill="F59678" w:themeFill="accent3" w:themeFillTint="FE"/>
      </w:tcPr>
    </w:tblStylePr>
    <w:tblStylePr w:type="firstCol">
      <w:rPr>
        <w:rFonts w:ascii="Arial" w:hAnsi="Arial"/>
        <w:color w:val="F2F2F2"/>
        <w:sz w:val="22"/>
      </w:rPr>
      <w:tblPr/>
      <w:tcPr>
        <w:shd w:val="clear" w:color="F59678" w:themeColor="accent3" w:themeTint="FE" w:fill="F59678" w:themeFill="accent3" w:themeFillTint="FE"/>
      </w:tcPr>
    </w:tblStylePr>
    <w:tblStylePr w:type="lastCol">
      <w:rPr>
        <w:rFonts w:ascii="Arial" w:hAnsi="Arial"/>
        <w:color w:val="F2F2F2"/>
        <w:sz w:val="22"/>
      </w:rPr>
      <w:tblPr/>
      <w:tcPr>
        <w:shd w:val="clear" w:color="F59678" w:themeColor="accent3" w:themeTint="FE" w:fill="F59678"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DE9E3" w:themeColor="accent3" w:themeTint="34" w:fill="FDE9E3"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E3" w:themeColor="accent3" w:themeTint="34" w:fill="FDE9E3" w:themeFill="accent3" w:themeFillTint="34"/>
      </w:tcPr>
    </w:tblStylePr>
  </w:style>
  <w:style w:type="table" w:customStyle="1" w:styleId="Lined-Accent4">
    <w:name w:val="Lined - Accent 4"/>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E55770" w:themeColor="accent4" w:themeTint="9A" w:fill="E55770" w:themeFill="accent4" w:themeFillTint="9A"/>
      </w:tcPr>
    </w:tblStylePr>
    <w:tblStylePr w:type="lastRow">
      <w:rPr>
        <w:rFonts w:ascii="Arial" w:hAnsi="Arial"/>
        <w:color w:val="F2F2F2"/>
        <w:sz w:val="22"/>
      </w:rPr>
      <w:tblPr/>
      <w:tcPr>
        <w:shd w:val="clear" w:color="E55770" w:themeColor="accent4" w:themeTint="9A" w:fill="E55770" w:themeFill="accent4" w:themeFillTint="9A"/>
      </w:tcPr>
    </w:tblStylePr>
    <w:tblStylePr w:type="firstCol">
      <w:rPr>
        <w:rFonts w:ascii="Arial" w:hAnsi="Arial"/>
        <w:color w:val="F2F2F2"/>
        <w:sz w:val="22"/>
      </w:rPr>
      <w:tblPr/>
      <w:tcPr>
        <w:shd w:val="clear" w:color="E55770" w:themeColor="accent4" w:themeTint="9A" w:fill="E55770" w:themeFill="accent4" w:themeFillTint="9A"/>
      </w:tcPr>
    </w:tblStylePr>
    <w:tblStylePr w:type="lastCol">
      <w:rPr>
        <w:rFonts w:ascii="Arial" w:hAnsi="Arial"/>
        <w:color w:val="F2F2F2"/>
        <w:sz w:val="22"/>
      </w:rPr>
      <w:tblPr/>
      <w:tcPr>
        <w:shd w:val="clear" w:color="E55770" w:themeColor="accent4" w:themeTint="9A" w:fill="E55770"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6C6CE" w:themeColor="accent4" w:themeTint="34" w:fill="F6C6CE"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6C6CE" w:themeColor="accent4" w:themeTint="34" w:fill="F6C6CE" w:themeFill="accent4" w:themeFillTint="34"/>
      </w:tcPr>
    </w:tblStylePr>
  </w:style>
  <w:style w:type="table" w:customStyle="1" w:styleId="Lined-Accent5">
    <w:name w:val="Lined - Accent 5"/>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055F82" w:themeColor="accent5" w:fill="055F82" w:themeFill="accent5"/>
      </w:tcPr>
    </w:tblStylePr>
    <w:tblStylePr w:type="lastRow">
      <w:rPr>
        <w:rFonts w:ascii="Arial" w:hAnsi="Arial"/>
        <w:color w:val="F2F2F2"/>
        <w:sz w:val="22"/>
      </w:rPr>
      <w:tblPr/>
      <w:tcPr>
        <w:shd w:val="clear" w:color="055F82" w:themeColor="accent5" w:fill="055F82" w:themeFill="accent5"/>
      </w:tcPr>
    </w:tblStylePr>
    <w:tblStylePr w:type="firstCol">
      <w:rPr>
        <w:rFonts w:ascii="Arial" w:hAnsi="Arial"/>
        <w:color w:val="F2F2F2"/>
        <w:sz w:val="22"/>
      </w:rPr>
      <w:tblPr/>
      <w:tcPr>
        <w:shd w:val="clear" w:color="055F82" w:themeColor="accent5" w:fill="055F82" w:themeFill="accent5"/>
      </w:tcPr>
    </w:tblStylePr>
    <w:tblStylePr w:type="lastCol">
      <w:rPr>
        <w:rFonts w:ascii="Arial" w:hAnsi="Arial"/>
        <w:color w:val="F2F2F2"/>
        <w:sz w:val="22"/>
      </w:rPr>
      <w:tblPr/>
      <w:tcPr>
        <w:shd w:val="clear" w:color="055F82" w:themeColor="accent5" w:fill="055F82" w:themeFill="accent5"/>
      </w:tcPr>
    </w:tblStylePr>
    <w:tblStylePr w:type="band1Vert">
      <w:rPr>
        <w:rFonts w:ascii="Arial" w:hAnsi="Arial"/>
        <w:color w:val="404040"/>
        <w:sz w:val="22"/>
      </w:rPr>
    </w:tblStylePr>
    <w:tblStylePr w:type="band2Vert">
      <w:rPr>
        <w:rFonts w:ascii="Arial" w:hAnsi="Arial"/>
        <w:color w:val="404040"/>
        <w:sz w:val="22"/>
      </w:rPr>
      <w:tblPr/>
      <w:tcPr>
        <w:shd w:val="clear" w:color="B5E8FC" w:themeColor="accent5" w:themeTint="34" w:fill="B5E8FC"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B5E8FC" w:themeColor="accent5" w:themeTint="34" w:fill="B5E8FC" w:themeFill="accent5" w:themeFillTint="34"/>
      </w:tcPr>
    </w:tblStylePr>
  </w:style>
  <w:style w:type="table" w:customStyle="1" w:styleId="Lined-Accent6">
    <w:name w:val="Lined - Accent 6"/>
    <w:basedOn w:val="TableNormal"/>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000000" w:themeColor="accent6" w:fill="000000" w:themeFill="accent6"/>
      </w:tcPr>
    </w:tblStylePr>
    <w:tblStylePr w:type="lastRow">
      <w:rPr>
        <w:rFonts w:ascii="Arial" w:hAnsi="Arial"/>
        <w:color w:val="F2F2F2"/>
        <w:sz w:val="22"/>
      </w:rPr>
      <w:tblPr/>
      <w:tcPr>
        <w:shd w:val="clear" w:color="000000" w:themeColor="accent6" w:fill="000000" w:themeFill="accent6"/>
      </w:tcPr>
    </w:tblStylePr>
    <w:tblStylePr w:type="firstCol">
      <w:rPr>
        <w:rFonts w:ascii="Arial" w:hAnsi="Arial"/>
        <w:color w:val="F2F2F2"/>
        <w:sz w:val="22"/>
      </w:rPr>
      <w:tblPr/>
      <w:tcPr>
        <w:shd w:val="clear" w:color="000000" w:themeColor="accent6" w:fill="000000" w:themeFill="accent6"/>
      </w:tcPr>
    </w:tblStylePr>
    <w:tblStylePr w:type="lastCol">
      <w:rPr>
        <w:rFonts w:ascii="Arial" w:hAnsi="Arial"/>
        <w:color w:val="F2F2F2"/>
        <w:sz w:val="22"/>
      </w:rPr>
      <w:tblPr/>
      <w:tcPr>
        <w:shd w:val="clear" w:color="000000" w:themeColor="accent6" w:fill="000000" w:themeFill="accent6"/>
      </w:tcPr>
    </w:tblStylePr>
    <w:tblStylePr w:type="band1Vert">
      <w:rPr>
        <w:rFonts w:ascii="Arial" w:hAnsi="Arial"/>
        <w:color w:val="404040"/>
        <w:sz w:val="22"/>
      </w:rPr>
    </w:tblStylePr>
    <w:tblStylePr w:type="band2Vert">
      <w:rPr>
        <w:rFonts w:ascii="Arial" w:hAnsi="Arial"/>
        <w:color w:val="404040"/>
        <w:sz w:val="22"/>
      </w:rPr>
      <w:tblPr/>
      <w:tcPr>
        <w:shd w:val="clear" w:color="CBCBCB" w:themeColor="accent6" w:themeTint="34" w:fill="CBCBCB"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CBCBCB" w:themeColor="accent6" w:themeTint="34" w:fill="CBCBCB" w:themeFill="accent6" w:themeFillTint="34"/>
      </w:tcPr>
    </w:tblStylePr>
  </w:style>
  <w:style w:type="table" w:customStyle="1" w:styleId="BorderedLined-Accent">
    <w:name w:val="Bordered &amp; Lined - Accent"/>
    <w:basedOn w:val="TableNormal"/>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Normal"/>
    <w:uiPriority w:val="99"/>
    <w:pPr>
      <w:spacing w:after="0" w:line="240" w:lineRule="auto"/>
    </w:pPr>
    <w:rPr>
      <w:color w:val="404040"/>
      <w:sz w:val="20"/>
      <w:szCs w:val="20"/>
      <w:lang w:eastAsia="de-DE"/>
    </w:rPr>
    <w:tblPr>
      <w:tblStyleRowBandSize w:val="1"/>
      <w:tblStyleColBandSize w:val="1"/>
      <w:tblBorders>
        <w:top w:val="single" w:sz="4" w:space="0" w:color="2B5D66" w:themeColor="accent1" w:themeShade="95"/>
        <w:left w:val="single" w:sz="4" w:space="0" w:color="2B5D66" w:themeColor="accent1" w:themeShade="95"/>
        <w:bottom w:val="single" w:sz="4" w:space="0" w:color="2B5D66" w:themeColor="accent1" w:themeShade="95"/>
        <w:right w:val="single" w:sz="4" w:space="0" w:color="2B5D66" w:themeColor="accent1" w:themeShade="95"/>
        <w:insideH w:val="single" w:sz="4" w:space="0" w:color="2B5D66" w:themeColor="accent1" w:themeShade="95"/>
        <w:insideV w:val="single" w:sz="4" w:space="0" w:color="2B5D66" w:themeColor="accent1" w:themeShade="95"/>
      </w:tblBorders>
    </w:tblPr>
    <w:tblStylePr w:type="firstRow">
      <w:rPr>
        <w:rFonts w:ascii="Arial" w:hAnsi="Arial"/>
        <w:color w:val="F2F2F2"/>
        <w:sz w:val="22"/>
      </w:rPr>
      <w:tblPr/>
      <w:tcPr>
        <w:shd w:val="clear" w:color="57A8B7" w:themeColor="accent1" w:themeTint="EA" w:fill="57A8B7" w:themeFill="accent1" w:themeFillTint="EA"/>
      </w:tcPr>
    </w:tblStylePr>
    <w:tblStylePr w:type="lastRow">
      <w:rPr>
        <w:rFonts w:ascii="Arial" w:hAnsi="Arial"/>
        <w:color w:val="F2F2F2"/>
        <w:sz w:val="22"/>
      </w:rPr>
      <w:tblPr/>
      <w:tcPr>
        <w:shd w:val="clear" w:color="57A8B7" w:themeColor="accent1" w:themeTint="EA" w:fill="57A8B7" w:themeFill="accent1" w:themeFillTint="EA"/>
      </w:tcPr>
    </w:tblStylePr>
    <w:tblStylePr w:type="firstCol">
      <w:rPr>
        <w:rFonts w:ascii="Arial" w:hAnsi="Arial"/>
        <w:color w:val="F2F2F2"/>
        <w:sz w:val="22"/>
      </w:rPr>
      <w:tblPr/>
      <w:tcPr>
        <w:shd w:val="clear" w:color="57A8B7" w:themeColor="accent1" w:themeTint="EA" w:fill="57A8B7" w:themeFill="accent1" w:themeFillTint="EA"/>
      </w:tcPr>
    </w:tblStylePr>
    <w:tblStylePr w:type="lastCol">
      <w:rPr>
        <w:rFonts w:ascii="Arial" w:hAnsi="Arial"/>
        <w:color w:val="F2F2F2"/>
        <w:sz w:val="22"/>
      </w:rPr>
      <w:tblPr/>
      <w:tcPr>
        <w:shd w:val="clear" w:color="57A8B7" w:themeColor="accent1" w:themeTint="EA" w:fill="57A8B7"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5E1E6" w:themeColor="accent1" w:themeTint="50" w:fill="C5E1E6"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5E1E6" w:themeColor="accent1" w:themeTint="50" w:fill="C5E1E6" w:themeFill="accent1" w:themeFillTint="50"/>
      </w:tcPr>
    </w:tblStylePr>
  </w:style>
  <w:style w:type="table" w:customStyle="1" w:styleId="BorderedLined-Accent2">
    <w:name w:val="Bordered &amp; Lined - Accent 2"/>
    <w:basedOn w:val="TableNormal"/>
    <w:uiPriority w:val="99"/>
    <w:pPr>
      <w:spacing w:after="0" w:line="240" w:lineRule="auto"/>
    </w:pPr>
    <w:rPr>
      <w:color w:val="404040"/>
      <w:sz w:val="20"/>
      <w:szCs w:val="20"/>
      <w:lang w:eastAsia="de-DE"/>
    </w:rPr>
    <w:tblPr>
      <w:tblStyleRowBandSize w:val="1"/>
      <w:tblStyleColBandSize w:val="1"/>
      <w:tblBorders>
        <w:top w:val="single" w:sz="4" w:space="0" w:color="7D003F" w:themeColor="accent2" w:themeShade="95"/>
        <w:left w:val="single" w:sz="4" w:space="0" w:color="7D003F" w:themeColor="accent2" w:themeShade="95"/>
        <w:bottom w:val="single" w:sz="4" w:space="0" w:color="7D003F" w:themeColor="accent2" w:themeShade="95"/>
        <w:right w:val="single" w:sz="4" w:space="0" w:color="7D003F" w:themeColor="accent2" w:themeShade="95"/>
        <w:insideH w:val="single" w:sz="4" w:space="0" w:color="7D003F" w:themeColor="accent2" w:themeShade="95"/>
        <w:insideV w:val="single" w:sz="4" w:space="0" w:color="7D003F" w:themeColor="accent2" w:themeShade="95"/>
      </w:tblBorders>
    </w:tblPr>
    <w:tblStylePr w:type="firstRow">
      <w:rPr>
        <w:rFonts w:ascii="Arial" w:hAnsi="Arial"/>
        <w:color w:val="F2F2F2"/>
        <w:sz w:val="22"/>
      </w:rPr>
      <w:tblPr/>
      <w:tcPr>
        <w:shd w:val="clear" w:color="FF50A9" w:themeColor="accent2" w:themeTint="97" w:fill="FF50A9" w:themeFill="accent2" w:themeFillTint="97"/>
      </w:tcPr>
    </w:tblStylePr>
    <w:tblStylePr w:type="lastRow">
      <w:rPr>
        <w:rFonts w:ascii="Arial" w:hAnsi="Arial"/>
        <w:color w:val="F2F2F2"/>
        <w:sz w:val="22"/>
      </w:rPr>
      <w:tblPr/>
      <w:tcPr>
        <w:shd w:val="clear" w:color="FF50A9" w:themeColor="accent2" w:themeTint="97" w:fill="FF50A9" w:themeFill="accent2" w:themeFillTint="97"/>
      </w:tcPr>
    </w:tblStylePr>
    <w:tblStylePr w:type="firstCol">
      <w:rPr>
        <w:rFonts w:ascii="Arial" w:hAnsi="Arial"/>
        <w:color w:val="F2F2F2"/>
        <w:sz w:val="22"/>
      </w:rPr>
      <w:tblPr/>
      <w:tcPr>
        <w:shd w:val="clear" w:color="FF50A9" w:themeColor="accent2" w:themeTint="97" w:fill="FF50A9" w:themeFill="accent2" w:themeFillTint="97"/>
      </w:tcPr>
    </w:tblStylePr>
    <w:tblStylePr w:type="lastCol">
      <w:rPr>
        <w:rFonts w:ascii="Arial" w:hAnsi="Arial"/>
        <w:color w:val="F2F2F2"/>
        <w:sz w:val="22"/>
      </w:rPr>
      <w:tblPr/>
      <w:tcPr>
        <w:shd w:val="clear" w:color="FF50A9" w:themeColor="accent2" w:themeTint="97" w:fill="FF50A9"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C5E2" w:themeColor="accent2" w:themeTint="32" w:fill="FFC5E2"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C5E2" w:themeColor="accent2" w:themeTint="32" w:fill="FFC5E2" w:themeFill="accent2" w:themeFillTint="32"/>
      </w:tcPr>
    </w:tblStylePr>
  </w:style>
  <w:style w:type="table" w:customStyle="1" w:styleId="BorderedLined-Accent3">
    <w:name w:val="Bordered &amp; Lined - Accent 3"/>
    <w:basedOn w:val="TableNormal"/>
    <w:uiPriority w:val="99"/>
    <w:pPr>
      <w:spacing w:after="0" w:line="240" w:lineRule="auto"/>
    </w:pPr>
    <w:rPr>
      <w:color w:val="404040"/>
      <w:sz w:val="20"/>
      <w:szCs w:val="20"/>
      <w:lang w:eastAsia="de-DE"/>
    </w:rPr>
    <w:tblPr>
      <w:tblStyleRowBandSize w:val="1"/>
      <w:tblStyleColBandSize w:val="1"/>
      <w:tblBorders>
        <w:top w:val="single" w:sz="4" w:space="0" w:color="C63A0E" w:themeColor="accent3" w:themeShade="95"/>
        <w:left w:val="single" w:sz="4" w:space="0" w:color="C63A0E" w:themeColor="accent3" w:themeShade="95"/>
        <w:bottom w:val="single" w:sz="4" w:space="0" w:color="C63A0E" w:themeColor="accent3" w:themeShade="95"/>
        <w:right w:val="single" w:sz="4" w:space="0" w:color="C63A0E" w:themeColor="accent3" w:themeShade="95"/>
        <w:insideH w:val="single" w:sz="4" w:space="0" w:color="C63A0E" w:themeColor="accent3" w:themeShade="95"/>
        <w:insideV w:val="single" w:sz="4" w:space="0" w:color="C63A0E" w:themeColor="accent3" w:themeShade="95"/>
      </w:tblBorders>
    </w:tblPr>
    <w:tblStylePr w:type="firstRow">
      <w:rPr>
        <w:rFonts w:ascii="Arial" w:hAnsi="Arial"/>
        <w:color w:val="F2F2F2"/>
        <w:sz w:val="22"/>
      </w:rPr>
      <w:tblPr/>
      <w:tcPr>
        <w:shd w:val="clear" w:color="F59678" w:themeColor="accent3" w:themeTint="FE" w:fill="F59678" w:themeFill="accent3" w:themeFillTint="FE"/>
      </w:tcPr>
    </w:tblStylePr>
    <w:tblStylePr w:type="lastRow">
      <w:rPr>
        <w:rFonts w:ascii="Arial" w:hAnsi="Arial"/>
        <w:color w:val="F2F2F2"/>
        <w:sz w:val="22"/>
      </w:rPr>
      <w:tblPr/>
      <w:tcPr>
        <w:shd w:val="clear" w:color="F59678" w:themeColor="accent3" w:themeTint="FE" w:fill="F59678" w:themeFill="accent3" w:themeFillTint="FE"/>
      </w:tcPr>
    </w:tblStylePr>
    <w:tblStylePr w:type="firstCol">
      <w:rPr>
        <w:rFonts w:ascii="Arial" w:hAnsi="Arial"/>
        <w:color w:val="F2F2F2"/>
        <w:sz w:val="22"/>
      </w:rPr>
      <w:tblPr/>
      <w:tcPr>
        <w:shd w:val="clear" w:color="F59678" w:themeColor="accent3" w:themeTint="FE" w:fill="F59678" w:themeFill="accent3" w:themeFillTint="FE"/>
      </w:tcPr>
    </w:tblStylePr>
    <w:tblStylePr w:type="lastCol">
      <w:rPr>
        <w:rFonts w:ascii="Arial" w:hAnsi="Arial"/>
        <w:color w:val="F2F2F2"/>
        <w:sz w:val="22"/>
      </w:rPr>
      <w:tblPr/>
      <w:tcPr>
        <w:shd w:val="clear" w:color="F59678" w:themeColor="accent3" w:themeTint="FE" w:fill="F59678"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DE9E3" w:themeColor="accent3" w:themeTint="34" w:fill="FDE9E3"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E3" w:themeColor="accent3" w:themeTint="34" w:fill="FDE9E3" w:themeFill="accent3" w:themeFillTint="34"/>
      </w:tcPr>
    </w:tblStylePr>
  </w:style>
  <w:style w:type="table" w:customStyle="1" w:styleId="BorderedLined-Accent4">
    <w:name w:val="Bordered &amp; Lined - Accent 4"/>
    <w:basedOn w:val="TableNormal"/>
    <w:uiPriority w:val="99"/>
    <w:pPr>
      <w:spacing w:after="0" w:line="240" w:lineRule="auto"/>
    </w:pPr>
    <w:rPr>
      <w:color w:val="404040"/>
      <w:sz w:val="20"/>
      <w:szCs w:val="20"/>
      <w:lang w:eastAsia="de-DE"/>
    </w:rPr>
    <w:tblPr>
      <w:tblStyleRowBandSize w:val="1"/>
      <w:tblStyleColBandSize w:val="1"/>
      <w:tblBorders>
        <w:top w:val="single" w:sz="4" w:space="0" w:color="600E1D" w:themeColor="accent4" w:themeShade="95"/>
        <w:left w:val="single" w:sz="4" w:space="0" w:color="600E1D" w:themeColor="accent4" w:themeShade="95"/>
        <w:bottom w:val="single" w:sz="4" w:space="0" w:color="600E1D" w:themeColor="accent4" w:themeShade="95"/>
        <w:right w:val="single" w:sz="4" w:space="0" w:color="600E1D" w:themeColor="accent4" w:themeShade="95"/>
        <w:insideH w:val="single" w:sz="4" w:space="0" w:color="600E1D" w:themeColor="accent4" w:themeShade="95"/>
        <w:insideV w:val="single" w:sz="4" w:space="0" w:color="600E1D" w:themeColor="accent4" w:themeShade="95"/>
      </w:tblBorders>
    </w:tblPr>
    <w:tblStylePr w:type="firstRow">
      <w:rPr>
        <w:rFonts w:ascii="Arial" w:hAnsi="Arial"/>
        <w:color w:val="F2F2F2"/>
        <w:sz w:val="22"/>
      </w:rPr>
      <w:tblPr/>
      <w:tcPr>
        <w:shd w:val="clear" w:color="E55770" w:themeColor="accent4" w:themeTint="9A" w:fill="E55770" w:themeFill="accent4" w:themeFillTint="9A"/>
      </w:tcPr>
    </w:tblStylePr>
    <w:tblStylePr w:type="lastRow">
      <w:rPr>
        <w:rFonts w:ascii="Arial" w:hAnsi="Arial"/>
        <w:color w:val="F2F2F2"/>
        <w:sz w:val="22"/>
      </w:rPr>
      <w:tblPr/>
      <w:tcPr>
        <w:shd w:val="clear" w:color="E55770" w:themeColor="accent4" w:themeTint="9A" w:fill="E55770" w:themeFill="accent4" w:themeFillTint="9A"/>
      </w:tcPr>
    </w:tblStylePr>
    <w:tblStylePr w:type="firstCol">
      <w:rPr>
        <w:rFonts w:ascii="Arial" w:hAnsi="Arial"/>
        <w:color w:val="F2F2F2"/>
        <w:sz w:val="22"/>
      </w:rPr>
      <w:tblPr/>
      <w:tcPr>
        <w:shd w:val="clear" w:color="E55770" w:themeColor="accent4" w:themeTint="9A" w:fill="E55770" w:themeFill="accent4" w:themeFillTint="9A"/>
      </w:tcPr>
    </w:tblStylePr>
    <w:tblStylePr w:type="lastCol">
      <w:rPr>
        <w:rFonts w:ascii="Arial" w:hAnsi="Arial"/>
        <w:color w:val="F2F2F2"/>
        <w:sz w:val="22"/>
      </w:rPr>
      <w:tblPr/>
      <w:tcPr>
        <w:shd w:val="clear" w:color="E55770" w:themeColor="accent4" w:themeTint="9A" w:fill="E55770"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6C6CE" w:themeColor="accent4" w:themeTint="34" w:fill="F6C6CE"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6C6CE" w:themeColor="accent4" w:themeTint="34" w:fill="F6C6CE" w:themeFill="accent4" w:themeFillTint="34"/>
      </w:tcPr>
    </w:tblStylePr>
  </w:style>
  <w:style w:type="table" w:customStyle="1" w:styleId="BorderedLined-Accent5">
    <w:name w:val="Bordered &amp; Lined - Accent 5"/>
    <w:basedOn w:val="TableNormal"/>
    <w:uiPriority w:val="99"/>
    <w:pPr>
      <w:spacing w:after="0" w:line="240" w:lineRule="auto"/>
    </w:pPr>
    <w:rPr>
      <w:color w:val="404040"/>
      <w:sz w:val="20"/>
      <w:szCs w:val="20"/>
      <w:lang w:eastAsia="de-DE"/>
    </w:rPr>
    <w:tblPr>
      <w:tblStyleRowBandSize w:val="1"/>
      <w:tblStyleColBandSize w:val="1"/>
      <w:tblBorders>
        <w:top w:val="single" w:sz="4" w:space="0" w:color="03374B" w:themeColor="accent5" w:themeShade="95"/>
        <w:left w:val="single" w:sz="4" w:space="0" w:color="03374B" w:themeColor="accent5" w:themeShade="95"/>
        <w:bottom w:val="single" w:sz="4" w:space="0" w:color="03374B" w:themeColor="accent5" w:themeShade="95"/>
        <w:right w:val="single" w:sz="4" w:space="0" w:color="03374B" w:themeColor="accent5" w:themeShade="95"/>
        <w:insideH w:val="single" w:sz="4" w:space="0" w:color="03374B" w:themeColor="accent5" w:themeShade="95"/>
        <w:insideV w:val="single" w:sz="4" w:space="0" w:color="03374B" w:themeColor="accent5" w:themeShade="95"/>
      </w:tblBorders>
    </w:tblPr>
    <w:tblStylePr w:type="firstRow">
      <w:rPr>
        <w:rFonts w:ascii="Arial" w:hAnsi="Arial"/>
        <w:color w:val="F2F2F2"/>
        <w:sz w:val="22"/>
      </w:rPr>
      <w:tblPr/>
      <w:tcPr>
        <w:shd w:val="clear" w:color="055F82" w:themeColor="accent5" w:fill="055F82" w:themeFill="accent5"/>
      </w:tcPr>
    </w:tblStylePr>
    <w:tblStylePr w:type="lastRow">
      <w:rPr>
        <w:rFonts w:ascii="Arial" w:hAnsi="Arial"/>
        <w:color w:val="F2F2F2"/>
        <w:sz w:val="22"/>
      </w:rPr>
      <w:tblPr/>
      <w:tcPr>
        <w:shd w:val="clear" w:color="055F82" w:themeColor="accent5" w:fill="055F82" w:themeFill="accent5"/>
      </w:tcPr>
    </w:tblStylePr>
    <w:tblStylePr w:type="firstCol">
      <w:rPr>
        <w:rFonts w:ascii="Arial" w:hAnsi="Arial"/>
        <w:color w:val="F2F2F2"/>
        <w:sz w:val="22"/>
      </w:rPr>
      <w:tblPr/>
      <w:tcPr>
        <w:shd w:val="clear" w:color="055F82" w:themeColor="accent5" w:fill="055F82" w:themeFill="accent5"/>
      </w:tcPr>
    </w:tblStylePr>
    <w:tblStylePr w:type="lastCol">
      <w:rPr>
        <w:rFonts w:ascii="Arial" w:hAnsi="Arial"/>
        <w:color w:val="F2F2F2"/>
        <w:sz w:val="22"/>
      </w:rPr>
      <w:tblPr/>
      <w:tcPr>
        <w:shd w:val="clear" w:color="055F82" w:themeColor="accent5" w:fill="055F82" w:themeFill="accent5"/>
      </w:tcPr>
    </w:tblStylePr>
    <w:tblStylePr w:type="band1Vert">
      <w:rPr>
        <w:rFonts w:ascii="Arial" w:hAnsi="Arial"/>
        <w:color w:val="404040"/>
        <w:sz w:val="22"/>
      </w:rPr>
    </w:tblStylePr>
    <w:tblStylePr w:type="band2Vert">
      <w:rPr>
        <w:rFonts w:ascii="Arial" w:hAnsi="Arial"/>
        <w:color w:val="404040"/>
        <w:sz w:val="22"/>
      </w:rPr>
      <w:tblPr/>
      <w:tcPr>
        <w:shd w:val="clear" w:color="B5E8FC" w:themeColor="accent5" w:themeTint="34" w:fill="B5E8FC"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B5E8FC" w:themeColor="accent5" w:themeTint="34" w:fill="B5E8FC" w:themeFill="accent5" w:themeFillTint="34"/>
      </w:tcPr>
    </w:tblStylePr>
  </w:style>
  <w:style w:type="table" w:customStyle="1" w:styleId="BorderedLined-Accent6">
    <w:name w:val="Bordered &amp; Lined - Accent 6"/>
    <w:basedOn w:val="TableNormal"/>
    <w:uiPriority w:val="99"/>
    <w:pPr>
      <w:spacing w:after="0" w:line="240" w:lineRule="auto"/>
    </w:pPr>
    <w:rPr>
      <w:color w:val="404040"/>
      <w:sz w:val="20"/>
      <w:szCs w:val="20"/>
      <w:lang w:eastAsia="de-DE"/>
    </w:rPr>
    <w:tblPr>
      <w:tblStyleRowBandSize w:val="1"/>
      <w:tblStyleColBandSize w:val="1"/>
      <w:tblBorders>
        <w:top w:val="single" w:sz="4" w:space="0" w:color="000000" w:themeColor="accent6" w:themeShade="95"/>
        <w:left w:val="single" w:sz="4" w:space="0" w:color="000000" w:themeColor="accent6" w:themeShade="95"/>
        <w:bottom w:val="single" w:sz="4" w:space="0" w:color="000000" w:themeColor="accent6" w:themeShade="95"/>
        <w:right w:val="single" w:sz="4" w:space="0" w:color="000000" w:themeColor="accent6" w:themeShade="95"/>
        <w:insideH w:val="single" w:sz="4" w:space="0" w:color="000000" w:themeColor="accent6" w:themeShade="95"/>
        <w:insideV w:val="single" w:sz="4" w:space="0" w:color="000000" w:themeColor="accent6" w:themeShade="95"/>
      </w:tblBorders>
    </w:tblPr>
    <w:tblStylePr w:type="firstRow">
      <w:rPr>
        <w:rFonts w:ascii="Arial" w:hAnsi="Arial"/>
        <w:color w:val="F2F2F2"/>
        <w:sz w:val="22"/>
      </w:rPr>
      <w:tblPr/>
      <w:tcPr>
        <w:shd w:val="clear" w:color="000000" w:themeColor="accent6" w:fill="000000" w:themeFill="accent6"/>
      </w:tcPr>
    </w:tblStylePr>
    <w:tblStylePr w:type="lastRow">
      <w:rPr>
        <w:rFonts w:ascii="Arial" w:hAnsi="Arial"/>
        <w:color w:val="F2F2F2"/>
        <w:sz w:val="22"/>
      </w:rPr>
      <w:tblPr/>
      <w:tcPr>
        <w:shd w:val="clear" w:color="000000" w:themeColor="accent6" w:fill="000000" w:themeFill="accent6"/>
      </w:tcPr>
    </w:tblStylePr>
    <w:tblStylePr w:type="firstCol">
      <w:rPr>
        <w:rFonts w:ascii="Arial" w:hAnsi="Arial"/>
        <w:color w:val="F2F2F2"/>
        <w:sz w:val="22"/>
      </w:rPr>
      <w:tblPr/>
      <w:tcPr>
        <w:shd w:val="clear" w:color="000000" w:themeColor="accent6" w:fill="000000" w:themeFill="accent6"/>
      </w:tcPr>
    </w:tblStylePr>
    <w:tblStylePr w:type="lastCol">
      <w:rPr>
        <w:rFonts w:ascii="Arial" w:hAnsi="Arial"/>
        <w:color w:val="F2F2F2"/>
        <w:sz w:val="22"/>
      </w:rPr>
      <w:tblPr/>
      <w:tcPr>
        <w:shd w:val="clear" w:color="000000" w:themeColor="accent6" w:fill="000000" w:themeFill="accent6"/>
      </w:tcPr>
    </w:tblStylePr>
    <w:tblStylePr w:type="band1Vert">
      <w:rPr>
        <w:rFonts w:ascii="Arial" w:hAnsi="Arial"/>
        <w:color w:val="404040"/>
        <w:sz w:val="22"/>
      </w:rPr>
    </w:tblStylePr>
    <w:tblStylePr w:type="band2Vert">
      <w:rPr>
        <w:rFonts w:ascii="Arial" w:hAnsi="Arial"/>
        <w:color w:val="404040"/>
        <w:sz w:val="22"/>
      </w:rPr>
      <w:tblPr/>
      <w:tcPr>
        <w:shd w:val="clear" w:color="CBCBCB" w:themeColor="accent6" w:themeTint="34" w:fill="CBCBCB"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CBCBCB" w:themeColor="accent6" w:themeTint="34" w:fill="CBCBCB" w:themeFill="accent6" w:themeFillTint="34"/>
      </w:tcPr>
    </w:tblStylePr>
  </w:style>
  <w:style w:type="table" w:customStyle="1" w:styleId="Bordered">
    <w:name w:val="Bordered"/>
    <w:basedOn w:val="Table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pPr>
      <w:spacing w:after="0" w:line="240" w:lineRule="auto"/>
    </w:pPr>
    <w:tblPr>
      <w:tblStyleRowBandSize w:val="1"/>
      <w:tblStyleColBandSize w:val="1"/>
      <w:tblBorders>
        <w:top w:val="single" w:sz="4" w:space="0" w:color="B5D9DF" w:themeColor="accent1" w:themeTint="67"/>
        <w:left w:val="single" w:sz="4" w:space="0" w:color="B5D9DF" w:themeColor="accent1" w:themeTint="67"/>
        <w:bottom w:val="single" w:sz="4" w:space="0" w:color="B5D9DF" w:themeColor="accent1" w:themeTint="67"/>
        <w:right w:val="single" w:sz="4" w:space="0" w:color="B5D9DF" w:themeColor="accent1" w:themeTint="67"/>
        <w:insideH w:val="single" w:sz="4" w:space="0" w:color="B5D9DF" w:themeColor="accent1" w:themeTint="67"/>
        <w:insideV w:val="single" w:sz="4" w:space="0" w:color="B5D9DF" w:themeColor="accent1" w:themeTint="67"/>
      </w:tblBorders>
    </w:tblPr>
    <w:tblStylePr w:type="firstRow">
      <w:rPr>
        <w:rFonts w:ascii="Arial" w:hAnsi="Arial"/>
        <w:color w:val="404040"/>
        <w:sz w:val="22"/>
      </w:rPr>
      <w:tblPr/>
      <w:tcPr>
        <w:tcBorders>
          <w:bottom w:val="single" w:sz="12" w:space="0" w:color="4BA0AF" w:themeColor="accent1"/>
        </w:tcBorders>
      </w:tcPr>
    </w:tblStylePr>
    <w:tblStylePr w:type="lastRow">
      <w:rPr>
        <w:rFonts w:ascii="Arial" w:hAnsi="Arial"/>
        <w:color w:val="404040"/>
        <w:sz w:val="22"/>
      </w:rPr>
      <w:tblPr/>
      <w:tcPr>
        <w:tcBorders>
          <w:top w:val="single" w:sz="12" w:space="0" w:color="4BA0AF"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BA0AF" w:themeColor="accent1"/>
        </w:tcBorders>
      </w:tcPr>
    </w:tblStylePr>
    <w:tblStylePr w:type="band1Horz">
      <w:rPr>
        <w:rFonts w:ascii="Arial" w:hAnsi="Arial"/>
        <w:color w:val="404040"/>
        <w:sz w:val="22"/>
      </w:rPr>
      <w:tblPr/>
      <w:tcPr>
        <w:tcBorders>
          <w:top w:val="single" w:sz="4" w:space="0" w:color="B5D9DF" w:themeColor="accent1" w:themeTint="67"/>
          <w:left w:val="single" w:sz="4" w:space="0" w:color="B5D9DF" w:themeColor="accent1" w:themeTint="67"/>
          <w:bottom w:val="single" w:sz="4" w:space="0" w:color="B5D9DF" w:themeColor="accent1" w:themeTint="67"/>
          <w:right w:val="single" w:sz="4" w:space="0" w:color="B5D9DF" w:themeColor="accent1" w:themeTint="67"/>
        </w:tcBorders>
      </w:tcPr>
    </w:tblStylePr>
  </w:style>
  <w:style w:type="table" w:customStyle="1" w:styleId="Bordered-Accent2">
    <w:name w:val="Bordered - Accent 2"/>
    <w:basedOn w:val="TableNormal"/>
    <w:uiPriority w:val="99"/>
    <w:pPr>
      <w:spacing w:after="0" w:line="240" w:lineRule="auto"/>
    </w:pPr>
    <w:tblPr>
      <w:tblStyleRowBandSize w:val="1"/>
      <w:tblStyleColBandSize w:val="1"/>
      <w:tblBorders>
        <w:top w:val="single" w:sz="4" w:space="0" w:color="FF87C4" w:themeColor="accent2" w:themeTint="67"/>
        <w:left w:val="single" w:sz="4" w:space="0" w:color="FF87C4" w:themeColor="accent2" w:themeTint="67"/>
        <w:bottom w:val="single" w:sz="4" w:space="0" w:color="FF87C4" w:themeColor="accent2" w:themeTint="67"/>
        <w:right w:val="single" w:sz="4" w:space="0" w:color="FF87C4" w:themeColor="accent2" w:themeTint="67"/>
        <w:insideH w:val="single" w:sz="4" w:space="0" w:color="FF87C4" w:themeColor="accent2" w:themeTint="67"/>
        <w:insideV w:val="single" w:sz="4" w:space="0" w:color="FF87C4" w:themeColor="accent2" w:themeTint="67"/>
      </w:tblBorders>
    </w:tblPr>
    <w:tblStylePr w:type="firstRow">
      <w:rPr>
        <w:rFonts w:ascii="Arial" w:hAnsi="Arial"/>
        <w:color w:val="404040"/>
        <w:sz w:val="22"/>
      </w:rPr>
      <w:tblPr/>
      <w:tcPr>
        <w:tcBorders>
          <w:bottom w:val="single" w:sz="12" w:space="0" w:color="FF50A9" w:themeColor="accent2" w:themeTint="97"/>
        </w:tcBorders>
      </w:tcPr>
    </w:tblStylePr>
    <w:tblStylePr w:type="lastRow">
      <w:rPr>
        <w:rFonts w:ascii="Arial" w:hAnsi="Arial"/>
        <w:color w:val="404040"/>
        <w:sz w:val="22"/>
      </w:rPr>
      <w:tblPr/>
      <w:tcPr>
        <w:tcBorders>
          <w:top w:val="single" w:sz="12" w:space="0" w:color="FF50A9"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50A9" w:themeColor="accent2" w:themeTint="97"/>
        </w:tcBorders>
      </w:tcPr>
    </w:tblStylePr>
    <w:tblStylePr w:type="band1Horz">
      <w:rPr>
        <w:rFonts w:ascii="Arial" w:hAnsi="Arial"/>
        <w:color w:val="404040"/>
        <w:sz w:val="22"/>
      </w:rPr>
      <w:tblPr/>
      <w:tcPr>
        <w:tcBorders>
          <w:top w:val="single" w:sz="4" w:space="0" w:color="FF87C4" w:themeColor="accent2" w:themeTint="67"/>
          <w:left w:val="single" w:sz="4" w:space="0" w:color="FF87C4" w:themeColor="accent2" w:themeTint="67"/>
          <w:bottom w:val="single" w:sz="4" w:space="0" w:color="FF87C4" w:themeColor="accent2" w:themeTint="67"/>
          <w:right w:val="single" w:sz="4" w:space="0" w:color="FF87C4" w:themeColor="accent2" w:themeTint="67"/>
        </w:tcBorders>
      </w:tcPr>
    </w:tblStylePr>
  </w:style>
  <w:style w:type="table" w:customStyle="1" w:styleId="Bordered-Accent3">
    <w:name w:val="Bordered - Accent 3"/>
    <w:basedOn w:val="TableNormal"/>
    <w:uiPriority w:val="99"/>
    <w:pPr>
      <w:spacing w:after="0" w:line="240" w:lineRule="auto"/>
    </w:pPr>
    <w:tblPr>
      <w:tblStyleRowBandSize w:val="1"/>
      <w:tblStyleColBandSize w:val="1"/>
      <w:tblBorders>
        <w:top w:val="single" w:sz="4" w:space="0" w:color="FBD4C8" w:themeColor="accent3" w:themeTint="67"/>
        <w:left w:val="single" w:sz="4" w:space="0" w:color="FBD4C8" w:themeColor="accent3" w:themeTint="67"/>
        <w:bottom w:val="single" w:sz="4" w:space="0" w:color="FBD4C8" w:themeColor="accent3" w:themeTint="67"/>
        <w:right w:val="single" w:sz="4" w:space="0" w:color="FBD4C8" w:themeColor="accent3" w:themeTint="67"/>
        <w:insideH w:val="single" w:sz="4" w:space="0" w:color="FBD4C8" w:themeColor="accent3" w:themeTint="67"/>
        <w:insideV w:val="single" w:sz="4" w:space="0" w:color="FBD4C8" w:themeColor="accent3" w:themeTint="67"/>
      </w:tblBorders>
    </w:tblPr>
    <w:tblStylePr w:type="firstRow">
      <w:rPr>
        <w:rFonts w:ascii="Arial" w:hAnsi="Arial"/>
        <w:color w:val="404040"/>
        <w:sz w:val="22"/>
      </w:rPr>
      <w:tblPr/>
      <w:tcPr>
        <w:tcBorders>
          <w:bottom w:val="single" w:sz="12" w:space="0" w:color="F9C0AE" w:themeColor="accent3" w:themeTint="98"/>
        </w:tcBorders>
      </w:tcPr>
    </w:tblStylePr>
    <w:tblStylePr w:type="lastRow">
      <w:rPr>
        <w:rFonts w:ascii="Arial" w:hAnsi="Arial"/>
        <w:color w:val="404040"/>
        <w:sz w:val="22"/>
      </w:rPr>
      <w:tblPr/>
      <w:tcPr>
        <w:tcBorders>
          <w:top w:val="single" w:sz="12" w:space="0" w:color="F9C0AE"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9C0AE" w:themeColor="accent3" w:themeTint="98"/>
        </w:tcBorders>
      </w:tcPr>
    </w:tblStylePr>
    <w:tblStylePr w:type="band1Horz">
      <w:rPr>
        <w:rFonts w:ascii="Arial" w:hAnsi="Arial"/>
        <w:color w:val="404040"/>
        <w:sz w:val="22"/>
      </w:rPr>
      <w:tblPr/>
      <w:tcPr>
        <w:tcBorders>
          <w:top w:val="single" w:sz="4" w:space="0" w:color="FBD4C8" w:themeColor="accent3" w:themeTint="67"/>
          <w:left w:val="single" w:sz="4" w:space="0" w:color="FBD4C8" w:themeColor="accent3" w:themeTint="67"/>
          <w:bottom w:val="single" w:sz="4" w:space="0" w:color="FBD4C8" w:themeColor="accent3" w:themeTint="67"/>
          <w:right w:val="single" w:sz="4" w:space="0" w:color="FBD4C8" w:themeColor="accent3" w:themeTint="67"/>
        </w:tcBorders>
      </w:tcPr>
    </w:tblStylePr>
  </w:style>
  <w:style w:type="table" w:customStyle="1" w:styleId="Bordered-Accent4">
    <w:name w:val="Bordered - Accent 4"/>
    <w:basedOn w:val="TableNormal"/>
    <w:uiPriority w:val="99"/>
    <w:pPr>
      <w:spacing w:after="0" w:line="240" w:lineRule="auto"/>
    </w:pPr>
    <w:tblPr>
      <w:tblStyleRowBandSize w:val="1"/>
      <w:tblStyleColBandSize w:val="1"/>
      <w:tblBorders>
        <w:top w:val="single" w:sz="4" w:space="0" w:color="EE8E9F" w:themeColor="accent4" w:themeTint="67"/>
        <w:left w:val="single" w:sz="4" w:space="0" w:color="EE8E9F" w:themeColor="accent4" w:themeTint="67"/>
        <w:bottom w:val="single" w:sz="4" w:space="0" w:color="EE8E9F" w:themeColor="accent4" w:themeTint="67"/>
        <w:right w:val="single" w:sz="4" w:space="0" w:color="EE8E9F" w:themeColor="accent4" w:themeTint="67"/>
        <w:insideH w:val="single" w:sz="4" w:space="0" w:color="EE8E9F" w:themeColor="accent4" w:themeTint="67"/>
        <w:insideV w:val="single" w:sz="4" w:space="0" w:color="EE8E9F" w:themeColor="accent4" w:themeTint="67"/>
      </w:tblBorders>
    </w:tblPr>
    <w:tblStylePr w:type="firstRow">
      <w:rPr>
        <w:rFonts w:ascii="Arial" w:hAnsi="Arial"/>
        <w:color w:val="404040"/>
        <w:sz w:val="22"/>
      </w:rPr>
      <w:tblPr/>
      <w:tcPr>
        <w:tcBorders>
          <w:bottom w:val="single" w:sz="12" w:space="0" w:color="E55770" w:themeColor="accent4" w:themeTint="9A"/>
        </w:tcBorders>
      </w:tcPr>
    </w:tblStylePr>
    <w:tblStylePr w:type="lastRow">
      <w:rPr>
        <w:rFonts w:ascii="Arial" w:hAnsi="Arial"/>
        <w:color w:val="404040"/>
        <w:sz w:val="22"/>
      </w:rPr>
      <w:tblPr/>
      <w:tcPr>
        <w:tcBorders>
          <w:top w:val="single" w:sz="12" w:space="0" w:color="E55770"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E55770" w:themeColor="accent4" w:themeTint="9A"/>
        </w:tcBorders>
      </w:tcPr>
    </w:tblStylePr>
    <w:tblStylePr w:type="band1Horz">
      <w:rPr>
        <w:rFonts w:ascii="Arial" w:hAnsi="Arial"/>
        <w:color w:val="404040"/>
        <w:sz w:val="22"/>
      </w:rPr>
      <w:tblPr/>
      <w:tcPr>
        <w:tcBorders>
          <w:top w:val="single" w:sz="4" w:space="0" w:color="EE8E9F" w:themeColor="accent4" w:themeTint="67"/>
          <w:left w:val="single" w:sz="4" w:space="0" w:color="EE8E9F" w:themeColor="accent4" w:themeTint="67"/>
          <w:bottom w:val="single" w:sz="4" w:space="0" w:color="EE8E9F" w:themeColor="accent4" w:themeTint="67"/>
          <w:right w:val="single" w:sz="4" w:space="0" w:color="EE8E9F" w:themeColor="accent4" w:themeTint="67"/>
        </w:tcBorders>
      </w:tcPr>
    </w:tblStylePr>
  </w:style>
  <w:style w:type="table" w:customStyle="1" w:styleId="Bordered-Accent5">
    <w:name w:val="Bordered - Accent 5"/>
    <w:basedOn w:val="TableNormal"/>
    <w:uiPriority w:val="99"/>
    <w:pPr>
      <w:spacing w:after="0" w:line="240" w:lineRule="auto"/>
    </w:pPr>
    <w:tblPr>
      <w:tblStyleRowBandSize w:val="1"/>
      <w:tblStyleColBandSize w:val="1"/>
      <w:tblBorders>
        <w:top w:val="single" w:sz="4" w:space="0" w:color="6CD1F9" w:themeColor="accent5" w:themeTint="67"/>
        <w:left w:val="single" w:sz="4" w:space="0" w:color="6CD1F9" w:themeColor="accent5" w:themeTint="67"/>
        <w:bottom w:val="single" w:sz="4" w:space="0" w:color="6CD1F9" w:themeColor="accent5" w:themeTint="67"/>
        <w:right w:val="single" w:sz="4" w:space="0" w:color="6CD1F9" w:themeColor="accent5" w:themeTint="67"/>
        <w:insideH w:val="single" w:sz="4" w:space="0" w:color="6CD1F9" w:themeColor="accent5" w:themeTint="67"/>
        <w:insideV w:val="single" w:sz="4" w:space="0" w:color="6CD1F9" w:themeColor="accent5" w:themeTint="67"/>
      </w:tblBorders>
    </w:tblPr>
    <w:tblStylePr w:type="firstRow">
      <w:rPr>
        <w:rFonts w:ascii="Arial" w:hAnsi="Arial"/>
        <w:color w:val="404040"/>
        <w:sz w:val="22"/>
      </w:rPr>
      <w:tblPr/>
      <w:tcPr>
        <w:tcBorders>
          <w:bottom w:val="single" w:sz="12" w:space="0" w:color="24BBF6" w:themeColor="accent5" w:themeTint="9A"/>
        </w:tcBorders>
      </w:tcPr>
    </w:tblStylePr>
    <w:tblStylePr w:type="lastRow">
      <w:rPr>
        <w:rFonts w:ascii="Arial" w:hAnsi="Arial"/>
        <w:color w:val="404040"/>
        <w:sz w:val="22"/>
      </w:rPr>
      <w:tblPr/>
      <w:tcPr>
        <w:tcBorders>
          <w:top w:val="single" w:sz="12" w:space="0" w:color="24BBF6"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24BBF6" w:themeColor="accent5" w:themeTint="9A"/>
        </w:tcBorders>
      </w:tcPr>
    </w:tblStylePr>
    <w:tblStylePr w:type="band1Horz">
      <w:rPr>
        <w:rFonts w:ascii="Arial" w:hAnsi="Arial"/>
        <w:color w:val="404040"/>
        <w:sz w:val="22"/>
      </w:rPr>
      <w:tblPr/>
      <w:tcPr>
        <w:tcBorders>
          <w:top w:val="single" w:sz="4" w:space="0" w:color="6CD1F9" w:themeColor="accent5" w:themeTint="67"/>
          <w:left w:val="single" w:sz="4" w:space="0" w:color="6CD1F9" w:themeColor="accent5" w:themeTint="67"/>
          <w:bottom w:val="single" w:sz="4" w:space="0" w:color="6CD1F9" w:themeColor="accent5" w:themeTint="67"/>
          <w:right w:val="single" w:sz="4" w:space="0" w:color="6CD1F9" w:themeColor="accent5" w:themeTint="67"/>
        </w:tcBorders>
      </w:tcPr>
    </w:tblStylePr>
  </w:style>
  <w:style w:type="table" w:customStyle="1" w:styleId="Bordered-Accent6">
    <w:name w:val="Bordered - Accent 6"/>
    <w:basedOn w:val="TableNormal"/>
    <w:uiPriority w:val="99"/>
    <w:pPr>
      <w:spacing w:after="0" w:line="240" w:lineRule="auto"/>
    </w:pPr>
    <w:tblPr>
      <w:tblStyleRowBandSize w:val="1"/>
      <w:tblStyleColBandSize w:val="1"/>
      <w:tblBorders>
        <w:top w:val="single" w:sz="4" w:space="0" w:color="989898" w:themeColor="accent6" w:themeTint="67"/>
        <w:left w:val="single" w:sz="4" w:space="0" w:color="989898" w:themeColor="accent6" w:themeTint="67"/>
        <w:bottom w:val="single" w:sz="4" w:space="0" w:color="989898" w:themeColor="accent6" w:themeTint="67"/>
        <w:right w:val="single" w:sz="4" w:space="0" w:color="989898" w:themeColor="accent6" w:themeTint="67"/>
        <w:insideH w:val="single" w:sz="4" w:space="0" w:color="989898" w:themeColor="accent6" w:themeTint="67"/>
        <w:insideV w:val="single" w:sz="4" w:space="0" w:color="989898" w:themeColor="accent6" w:themeTint="67"/>
      </w:tblBorders>
    </w:tblPr>
    <w:tblStylePr w:type="firstRow">
      <w:rPr>
        <w:rFonts w:ascii="Arial" w:hAnsi="Arial"/>
        <w:color w:val="404040"/>
        <w:sz w:val="22"/>
      </w:rPr>
      <w:tblPr/>
      <w:tcPr>
        <w:tcBorders>
          <w:bottom w:val="single" w:sz="12" w:space="0" w:color="676767" w:themeColor="accent6" w:themeTint="98"/>
        </w:tcBorders>
      </w:tcPr>
    </w:tblStylePr>
    <w:tblStylePr w:type="lastRow">
      <w:rPr>
        <w:rFonts w:ascii="Arial" w:hAnsi="Arial"/>
        <w:color w:val="404040"/>
        <w:sz w:val="22"/>
      </w:rPr>
      <w:tblPr/>
      <w:tcPr>
        <w:tcBorders>
          <w:top w:val="single" w:sz="12" w:space="0" w:color="676767"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76767" w:themeColor="accent6" w:themeTint="98"/>
        </w:tcBorders>
      </w:tcPr>
    </w:tblStylePr>
    <w:tblStylePr w:type="band1Horz">
      <w:rPr>
        <w:rFonts w:ascii="Arial" w:hAnsi="Arial"/>
        <w:color w:val="404040"/>
        <w:sz w:val="22"/>
      </w:rPr>
      <w:tblPr/>
      <w:tcPr>
        <w:tcBorders>
          <w:top w:val="single" w:sz="4" w:space="0" w:color="989898" w:themeColor="accent6" w:themeTint="67"/>
          <w:left w:val="single" w:sz="4" w:space="0" w:color="989898" w:themeColor="accent6" w:themeTint="67"/>
          <w:bottom w:val="single" w:sz="4" w:space="0" w:color="989898" w:themeColor="accent6" w:themeTint="67"/>
          <w:right w:val="single" w:sz="4" w:space="0" w:color="989898" w:themeColor="accent6" w:themeTint="67"/>
        </w:tcBorders>
      </w:tcPr>
    </w:tblStylePr>
  </w:style>
  <w:style w:type="paragraph" w:styleId="FootnoteText">
    <w:name w:val="footnote text"/>
    <w:basedOn w:val="Normal"/>
    <w:link w:val="FootnoteTextChar1"/>
    <w:uiPriority w:val="99"/>
    <w:semiHidden/>
    <w:unhideWhenUsed/>
    <w:pPr>
      <w:spacing w:after="40" w:line="240" w:lineRule="auto"/>
    </w:pPr>
    <w:rPr>
      <w:sz w:val="18"/>
    </w:rPr>
  </w:style>
  <w:style w:type="character" w:customStyle="1" w:styleId="FootnoteTextChar1">
    <w:name w:val="Footnote Text Char1"/>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EndnoteText">
    <w:name w:val="endnote text"/>
    <w:basedOn w:val="Normal"/>
    <w:link w:val="EndnoteTextChar1"/>
    <w:uiPriority w:val="99"/>
    <w:semiHidden/>
    <w:unhideWhenUsed/>
    <w:pPr>
      <w:spacing w:after="0" w:line="240" w:lineRule="auto"/>
    </w:pPr>
    <w:rPr>
      <w:sz w:val="20"/>
    </w:rPr>
  </w:style>
  <w:style w:type="character" w:customStyle="1" w:styleId="EndnoteTextChar1">
    <w:name w:val="Endnote Text Char1"/>
    <w:link w:val="EndnoteText"/>
    <w:uiPriority w:val="99"/>
    <w:rPr>
      <w:sz w:val="20"/>
    </w:rPr>
  </w:style>
  <w:style w:type="character" w:styleId="EndnoteReference">
    <w:name w:val="endnote reference"/>
    <w:basedOn w:val="DefaultParagraphFont"/>
    <w:uiPriority w:val="99"/>
    <w:semiHidden/>
    <w:unhideWhenUsed/>
    <w:rPr>
      <w:vertAlign w:val="superscript"/>
    </w:r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ableofFigures">
    <w:name w:val="table of figures"/>
    <w:basedOn w:val="Normal"/>
    <w:next w:val="Normal"/>
    <w:uiPriority w:val="99"/>
    <w:unhideWhenUsed/>
    <w:pPr>
      <w:spacing w:after="0"/>
    </w:pPr>
  </w:style>
  <w:style w:type="paragraph" w:styleId="Header">
    <w:name w:val="header"/>
    <w:basedOn w:val="Normal"/>
    <w:link w:val="HeaderChar1"/>
    <w:uiPriority w:val="99"/>
    <w:unhideWhenUsed/>
    <w:pPr>
      <w:tabs>
        <w:tab w:val="center" w:pos="4536"/>
        <w:tab w:val="right" w:pos="9072"/>
      </w:tabs>
      <w:spacing w:after="0" w:line="240" w:lineRule="auto"/>
    </w:pPr>
  </w:style>
  <w:style w:type="character" w:customStyle="1" w:styleId="HeaderChar1">
    <w:name w:val="Header Char1"/>
    <w:basedOn w:val="DefaultParagraphFont"/>
    <w:link w:val="Header"/>
    <w:uiPriority w:val="99"/>
  </w:style>
  <w:style w:type="paragraph" w:styleId="Footer">
    <w:name w:val="footer"/>
    <w:basedOn w:val="Normal"/>
    <w:link w:val="FooterChar1"/>
    <w:uiPriority w:val="99"/>
    <w:unhideWhenUsed/>
    <w:pPr>
      <w:tabs>
        <w:tab w:val="center" w:pos="4536"/>
        <w:tab w:val="right" w:pos="9072"/>
      </w:tabs>
      <w:spacing w:after="0" w:line="240" w:lineRule="auto"/>
    </w:pPr>
  </w:style>
  <w:style w:type="character" w:customStyle="1" w:styleId="FooterChar1">
    <w:name w:val="Footer Char1"/>
    <w:basedOn w:val="DefaultParagraphFont"/>
    <w:link w:val="Footer"/>
    <w:uiPriority w:val="99"/>
  </w:style>
  <w:style w:type="paragraph" w:styleId="ListParagraph">
    <w:name w:val="List Paragraph"/>
    <w:basedOn w:val="Normal"/>
    <w:uiPriority w:val="34"/>
    <w:qFormat/>
    <w:pPr>
      <w:ind w:left="720"/>
      <w:contextualSpacing/>
    </w:pPr>
  </w:style>
  <w:style w:type="paragraph" w:styleId="NoSpacing">
    <w:name w:val="No Spacing"/>
    <w:link w:val="NoSpacingChar"/>
    <w:uiPriority w:val="1"/>
    <w:qFormat/>
    <w:pPr>
      <w:spacing w:after="0" w:line="240" w:lineRule="auto"/>
    </w:pPr>
    <w:rPr>
      <w:rFonts w:eastAsiaTheme="minorEastAsia"/>
      <w:lang w:eastAsia="de-DE"/>
    </w:rPr>
  </w:style>
  <w:style w:type="character" w:customStyle="1" w:styleId="NoSpacingChar">
    <w:name w:val="No Spacing Char"/>
    <w:basedOn w:val="DefaultParagraphFont"/>
    <w:link w:val="NoSpacing"/>
    <w:uiPriority w:val="1"/>
    <w:rPr>
      <w:rFonts w:eastAsiaTheme="minorEastAsia"/>
      <w:lang w:eastAsia="de-DE"/>
    </w:rPr>
  </w:style>
  <w:style w:type="character" w:customStyle="1" w:styleId="Heading1Char1">
    <w:name w:val="Heading 1 Char1"/>
    <w:basedOn w:val="DefaultParagraphFont"/>
    <w:link w:val="Heading1"/>
    <w:uiPriority w:val="9"/>
    <w:rPr>
      <w:rFonts w:asciiTheme="majorHAnsi" w:eastAsiaTheme="majorEastAsia" w:hAnsiTheme="majorHAnsi" w:cstheme="majorBidi"/>
      <w:color w:val="387782" w:themeColor="accent1" w:themeShade="BF"/>
      <w:sz w:val="32"/>
      <w:szCs w:val="32"/>
    </w:rPr>
  </w:style>
  <w:style w:type="paragraph" w:styleId="TOCHeading">
    <w:name w:val="TOC Heading"/>
    <w:basedOn w:val="Heading1"/>
    <w:next w:val="Normal"/>
    <w:uiPriority w:val="39"/>
    <w:unhideWhenUsed/>
    <w:qFormat/>
    <w:pPr>
      <w:outlineLvl w:val="9"/>
    </w:pPr>
    <w:rPr>
      <w:lang w:eastAsia="de-DE"/>
    </w:rPr>
  </w:style>
  <w:style w:type="character" w:styleId="Hyperlink">
    <w:name w:val="Hyperlink"/>
    <w:basedOn w:val="DefaultParagraphFont"/>
    <w:uiPriority w:val="99"/>
    <w:unhideWhenUsed/>
    <w:rPr>
      <w:color w:val="000000" w:themeColor="hyperlink"/>
      <w:u w:val="single"/>
    </w:rPr>
  </w:style>
  <w:style w:type="character" w:styleId="UnresolvedMention">
    <w:name w:val="Unresolved Mention"/>
    <w:basedOn w:val="DefaultParagraphFont"/>
    <w:uiPriority w:val="99"/>
    <w:semiHidden/>
    <w:unhideWhenUsed/>
    <w:rPr>
      <w:color w:val="605E5C"/>
      <w:shd w:val="clear" w:color="auto" w:fill="E1DFDD"/>
    </w:rPr>
  </w:style>
  <w:style w:type="character" w:customStyle="1" w:styleId="Heading2Char1">
    <w:name w:val="Heading 2 Char1"/>
    <w:basedOn w:val="DefaultParagraphFont"/>
    <w:link w:val="Heading2"/>
    <w:uiPriority w:val="9"/>
    <w:rPr>
      <w:rFonts w:asciiTheme="majorHAnsi" w:eastAsiaTheme="majorEastAsia" w:hAnsiTheme="majorHAnsi" w:cstheme="majorBidi"/>
      <w:color w:val="387782" w:themeColor="accent1" w:themeShade="BF"/>
      <w:sz w:val="26"/>
      <w:szCs w:val="2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20"/>
    </w:pPr>
  </w:style>
  <w:style w:type="paragraph" w:styleId="Bibliography">
    <w:name w:val="Bibliography"/>
    <w:basedOn w:val="Normal"/>
    <w:next w:val="Normal"/>
    <w:uiPriority w:val="37"/>
    <w:unhideWhenUsed/>
    <w:rsid w:val="001611CF"/>
    <w:pPr>
      <w:tabs>
        <w:tab w:val="left" w:pos="384"/>
      </w:tabs>
      <w:spacing w:after="0" w:line="240" w:lineRule="auto"/>
      <w:ind w:left="384" w:hanging="384"/>
    </w:pPr>
  </w:style>
  <w:style w:type="paragraph" w:customStyle="1" w:styleId="Default">
    <w:name w:val="Default"/>
    <w:rsid w:val="00E2095A"/>
    <w:pPr>
      <w:autoSpaceDE w:val="0"/>
      <w:autoSpaceDN w:val="0"/>
      <w:adjustRightInd w:val="0"/>
      <w:spacing w:after="0" w:line="240" w:lineRule="auto"/>
    </w:pPr>
    <w:rPr>
      <w:rFonts w:ascii="Times New Roman" w:hAnsi="Times New Roman" w:cs="Times New Roman"/>
      <w:color w:val="000000"/>
      <w:sz w:val="24"/>
      <w:szCs w:val="24"/>
      <w:lang w:val="en-US" w:bidi="th-TH"/>
    </w:rPr>
  </w:style>
  <w:style w:type="paragraph" w:customStyle="1" w:styleId="EndNoteBibliographyTitle">
    <w:name w:val="EndNote Bibliography Title"/>
    <w:basedOn w:val="Normal"/>
    <w:link w:val="EndNoteBibliographyTitleChar"/>
    <w:rsid w:val="0049018D"/>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9018D"/>
    <w:rPr>
      <w:rFonts w:ascii="Calibri" w:hAnsi="Calibri" w:cs="Calibri"/>
      <w:noProof/>
      <w:lang w:val="en-US"/>
    </w:rPr>
  </w:style>
  <w:style w:type="paragraph" w:customStyle="1" w:styleId="EndNoteBibliography">
    <w:name w:val="EndNote Bibliography"/>
    <w:basedOn w:val="Normal"/>
    <w:link w:val="EndNoteBibliographyChar"/>
    <w:rsid w:val="0049018D"/>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49018D"/>
    <w:rPr>
      <w:rFonts w:ascii="Calibri" w:hAnsi="Calibri" w:cs="Calibri"/>
      <w:noProof/>
      <w:lang w:val="en-US"/>
    </w:rPr>
  </w:style>
  <w:style w:type="table" w:customStyle="1" w:styleId="TableGrid1">
    <w:name w:val="Table Grid1"/>
    <w:basedOn w:val="TableNormal"/>
    <w:next w:val="TableGrid"/>
    <w:uiPriority w:val="59"/>
    <w:rsid w:val="0049018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D451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FA0CD9"/>
    <w:pPr>
      <w:spacing w:after="0" w:line="240" w:lineRule="auto"/>
    </w:pPr>
  </w:style>
  <w:style w:type="character" w:styleId="PlaceholderText">
    <w:name w:val="Placeholder Text"/>
    <w:basedOn w:val="DefaultParagraphFont"/>
    <w:uiPriority w:val="99"/>
    <w:semiHidden/>
    <w:rsid w:val="001650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57122">
      <w:bodyDiv w:val="1"/>
      <w:marLeft w:val="0"/>
      <w:marRight w:val="0"/>
      <w:marTop w:val="0"/>
      <w:marBottom w:val="0"/>
      <w:divBdr>
        <w:top w:val="none" w:sz="0" w:space="0" w:color="auto"/>
        <w:left w:val="none" w:sz="0" w:space="0" w:color="auto"/>
        <w:bottom w:val="none" w:sz="0" w:space="0" w:color="auto"/>
        <w:right w:val="none" w:sz="0" w:space="0" w:color="auto"/>
      </w:divBdr>
      <w:divsChild>
        <w:div w:id="1824159946">
          <w:marLeft w:val="0"/>
          <w:marRight w:val="0"/>
          <w:marTop w:val="0"/>
          <w:marBottom w:val="0"/>
          <w:divBdr>
            <w:top w:val="none" w:sz="0" w:space="0" w:color="auto"/>
            <w:left w:val="none" w:sz="0" w:space="0" w:color="auto"/>
            <w:bottom w:val="none" w:sz="0" w:space="0" w:color="auto"/>
            <w:right w:val="none" w:sz="0" w:space="0" w:color="auto"/>
          </w:divBdr>
        </w:div>
      </w:divsChild>
    </w:div>
    <w:div w:id="206836222">
      <w:bodyDiv w:val="1"/>
      <w:marLeft w:val="0"/>
      <w:marRight w:val="0"/>
      <w:marTop w:val="0"/>
      <w:marBottom w:val="0"/>
      <w:divBdr>
        <w:top w:val="none" w:sz="0" w:space="0" w:color="auto"/>
        <w:left w:val="none" w:sz="0" w:space="0" w:color="auto"/>
        <w:bottom w:val="none" w:sz="0" w:space="0" w:color="auto"/>
        <w:right w:val="none" w:sz="0" w:space="0" w:color="auto"/>
      </w:divBdr>
    </w:div>
    <w:div w:id="221596074">
      <w:bodyDiv w:val="1"/>
      <w:marLeft w:val="0"/>
      <w:marRight w:val="0"/>
      <w:marTop w:val="0"/>
      <w:marBottom w:val="0"/>
      <w:divBdr>
        <w:top w:val="none" w:sz="0" w:space="0" w:color="auto"/>
        <w:left w:val="none" w:sz="0" w:space="0" w:color="auto"/>
        <w:bottom w:val="none" w:sz="0" w:space="0" w:color="auto"/>
        <w:right w:val="none" w:sz="0" w:space="0" w:color="auto"/>
      </w:divBdr>
      <w:divsChild>
        <w:div w:id="271209956">
          <w:marLeft w:val="0"/>
          <w:marRight w:val="0"/>
          <w:marTop w:val="0"/>
          <w:marBottom w:val="0"/>
          <w:divBdr>
            <w:top w:val="none" w:sz="0" w:space="0" w:color="auto"/>
            <w:left w:val="none" w:sz="0" w:space="0" w:color="auto"/>
            <w:bottom w:val="none" w:sz="0" w:space="0" w:color="auto"/>
            <w:right w:val="none" w:sz="0" w:space="0" w:color="auto"/>
          </w:divBdr>
        </w:div>
        <w:div w:id="16008531">
          <w:marLeft w:val="0"/>
          <w:marRight w:val="0"/>
          <w:marTop w:val="0"/>
          <w:marBottom w:val="0"/>
          <w:divBdr>
            <w:top w:val="none" w:sz="0" w:space="0" w:color="auto"/>
            <w:left w:val="none" w:sz="0" w:space="0" w:color="auto"/>
            <w:bottom w:val="none" w:sz="0" w:space="0" w:color="auto"/>
            <w:right w:val="none" w:sz="0" w:space="0" w:color="auto"/>
          </w:divBdr>
          <w:divsChild>
            <w:div w:id="1878932638">
              <w:marLeft w:val="-75"/>
              <w:marRight w:val="0"/>
              <w:marTop w:val="30"/>
              <w:marBottom w:val="30"/>
              <w:divBdr>
                <w:top w:val="none" w:sz="0" w:space="0" w:color="auto"/>
                <w:left w:val="none" w:sz="0" w:space="0" w:color="auto"/>
                <w:bottom w:val="none" w:sz="0" w:space="0" w:color="auto"/>
                <w:right w:val="none" w:sz="0" w:space="0" w:color="auto"/>
              </w:divBdr>
              <w:divsChild>
                <w:div w:id="543325758">
                  <w:marLeft w:val="0"/>
                  <w:marRight w:val="0"/>
                  <w:marTop w:val="0"/>
                  <w:marBottom w:val="0"/>
                  <w:divBdr>
                    <w:top w:val="none" w:sz="0" w:space="0" w:color="auto"/>
                    <w:left w:val="none" w:sz="0" w:space="0" w:color="auto"/>
                    <w:bottom w:val="none" w:sz="0" w:space="0" w:color="auto"/>
                    <w:right w:val="none" w:sz="0" w:space="0" w:color="auto"/>
                  </w:divBdr>
                  <w:divsChild>
                    <w:div w:id="595135179">
                      <w:marLeft w:val="0"/>
                      <w:marRight w:val="0"/>
                      <w:marTop w:val="0"/>
                      <w:marBottom w:val="0"/>
                      <w:divBdr>
                        <w:top w:val="none" w:sz="0" w:space="0" w:color="auto"/>
                        <w:left w:val="none" w:sz="0" w:space="0" w:color="auto"/>
                        <w:bottom w:val="none" w:sz="0" w:space="0" w:color="auto"/>
                        <w:right w:val="none" w:sz="0" w:space="0" w:color="auto"/>
                      </w:divBdr>
                    </w:div>
                  </w:divsChild>
                </w:div>
                <w:div w:id="150878480">
                  <w:marLeft w:val="0"/>
                  <w:marRight w:val="0"/>
                  <w:marTop w:val="0"/>
                  <w:marBottom w:val="0"/>
                  <w:divBdr>
                    <w:top w:val="none" w:sz="0" w:space="0" w:color="auto"/>
                    <w:left w:val="none" w:sz="0" w:space="0" w:color="auto"/>
                    <w:bottom w:val="none" w:sz="0" w:space="0" w:color="auto"/>
                    <w:right w:val="none" w:sz="0" w:space="0" w:color="auto"/>
                  </w:divBdr>
                  <w:divsChild>
                    <w:div w:id="988708863">
                      <w:marLeft w:val="0"/>
                      <w:marRight w:val="0"/>
                      <w:marTop w:val="0"/>
                      <w:marBottom w:val="0"/>
                      <w:divBdr>
                        <w:top w:val="none" w:sz="0" w:space="0" w:color="auto"/>
                        <w:left w:val="none" w:sz="0" w:space="0" w:color="auto"/>
                        <w:bottom w:val="none" w:sz="0" w:space="0" w:color="auto"/>
                        <w:right w:val="none" w:sz="0" w:space="0" w:color="auto"/>
                      </w:divBdr>
                    </w:div>
                  </w:divsChild>
                </w:div>
                <w:div w:id="1309941681">
                  <w:marLeft w:val="0"/>
                  <w:marRight w:val="0"/>
                  <w:marTop w:val="0"/>
                  <w:marBottom w:val="0"/>
                  <w:divBdr>
                    <w:top w:val="none" w:sz="0" w:space="0" w:color="auto"/>
                    <w:left w:val="none" w:sz="0" w:space="0" w:color="auto"/>
                    <w:bottom w:val="none" w:sz="0" w:space="0" w:color="auto"/>
                    <w:right w:val="none" w:sz="0" w:space="0" w:color="auto"/>
                  </w:divBdr>
                  <w:divsChild>
                    <w:div w:id="1107582337">
                      <w:marLeft w:val="0"/>
                      <w:marRight w:val="0"/>
                      <w:marTop w:val="0"/>
                      <w:marBottom w:val="0"/>
                      <w:divBdr>
                        <w:top w:val="none" w:sz="0" w:space="0" w:color="auto"/>
                        <w:left w:val="none" w:sz="0" w:space="0" w:color="auto"/>
                        <w:bottom w:val="none" w:sz="0" w:space="0" w:color="auto"/>
                        <w:right w:val="none" w:sz="0" w:space="0" w:color="auto"/>
                      </w:divBdr>
                    </w:div>
                  </w:divsChild>
                </w:div>
                <w:div w:id="478771347">
                  <w:marLeft w:val="0"/>
                  <w:marRight w:val="0"/>
                  <w:marTop w:val="0"/>
                  <w:marBottom w:val="0"/>
                  <w:divBdr>
                    <w:top w:val="none" w:sz="0" w:space="0" w:color="auto"/>
                    <w:left w:val="none" w:sz="0" w:space="0" w:color="auto"/>
                    <w:bottom w:val="none" w:sz="0" w:space="0" w:color="auto"/>
                    <w:right w:val="none" w:sz="0" w:space="0" w:color="auto"/>
                  </w:divBdr>
                  <w:divsChild>
                    <w:div w:id="1306354282">
                      <w:marLeft w:val="0"/>
                      <w:marRight w:val="0"/>
                      <w:marTop w:val="0"/>
                      <w:marBottom w:val="0"/>
                      <w:divBdr>
                        <w:top w:val="none" w:sz="0" w:space="0" w:color="auto"/>
                        <w:left w:val="none" w:sz="0" w:space="0" w:color="auto"/>
                        <w:bottom w:val="none" w:sz="0" w:space="0" w:color="auto"/>
                        <w:right w:val="none" w:sz="0" w:space="0" w:color="auto"/>
                      </w:divBdr>
                    </w:div>
                  </w:divsChild>
                </w:div>
                <w:div w:id="1590849376">
                  <w:marLeft w:val="0"/>
                  <w:marRight w:val="0"/>
                  <w:marTop w:val="0"/>
                  <w:marBottom w:val="0"/>
                  <w:divBdr>
                    <w:top w:val="none" w:sz="0" w:space="0" w:color="auto"/>
                    <w:left w:val="none" w:sz="0" w:space="0" w:color="auto"/>
                    <w:bottom w:val="none" w:sz="0" w:space="0" w:color="auto"/>
                    <w:right w:val="none" w:sz="0" w:space="0" w:color="auto"/>
                  </w:divBdr>
                  <w:divsChild>
                    <w:div w:id="1425494775">
                      <w:marLeft w:val="0"/>
                      <w:marRight w:val="0"/>
                      <w:marTop w:val="0"/>
                      <w:marBottom w:val="0"/>
                      <w:divBdr>
                        <w:top w:val="none" w:sz="0" w:space="0" w:color="auto"/>
                        <w:left w:val="none" w:sz="0" w:space="0" w:color="auto"/>
                        <w:bottom w:val="none" w:sz="0" w:space="0" w:color="auto"/>
                        <w:right w:val="none" w:sz="0" w:space="0" w:color="auto"/>
                      </w:divBdr>
                    </w:div>
                  </w:divsChild>
                </w:div>
                <w:div w:id="1045182849">
                  <w:marLeft w:val="0"/>
                  <w:marRight w:val="0"/>
                  <w:marTop w:val="0"/>
                  <w:marBottom w:val="0"/>
                  <w:divBdr>
                    <w:top w:val="none" w:sz="0" w:space="0" w:color="auto"/>
                    <w:left w:val="none" w:sz="0" w:space="0" w:color="auto"/>
                    <w:bottom w:val="none" w:sz="0" w:space="0" w:color="auto"/>
                    <w:right w:val="none" w:sz="0" w:space="0" w:color="auto"/>
                  </w:divBdr>
                  <w:divsChild>
                    <w:div w:id="1740440721">
                      <w:marLeft w:val="0"/>
                      <w:marRight w:val="0"/>
                      <w:marTop w:val="0"/>
                      <w:marBottom w:val="0"/>
                      <w:divBdr>
                        <w:top w:val="none" w:sz="0" w:space="0" w:color="auto"/>
                        <w:left w:val="none" w:sz="0" w:space="0" w:color="auto"/>
                        <w:bottom w:val="none" w:sz="0" w:space="0" w:color="auto"/>
                        <w:right w:val="none" w:sz="0" w:space="0" w:color="auto"/>
                      </w:divBdr>
                    </w:div>
                  </w:divsChild>
                </w:div>
                <w:div w:id="1683430950">
                  <w:marLeft w:val="0"/>
                  <w:marRight w:val="0"/>
                  <w:marTop w:val="0"/>
                  <w:marBottom w:val="0"/>
                  <w:divBdr>
                    <w:top w:val="none" w:sz="0" w:space="0" w:color="auto"/>
                    <w:left w:val="none" w:sz="0" w:space="0" w:color="auto"/>
                    <w:bottom w:val="none" w:sz="0" w:space="0" w:color="auto"/>
                    <w:right w:val="none" w:sz="0" w:space="0" w:color="auto"/>
                  </w:divBdr>
                  <w:divsChild>
                    <w:div w:id="698240885">
                      <w:marLeft w:val="0"/>
                      <w:marRight w:val="0"/>
                      <w:marTop w:val="0"/>
                      <w:marBottom w:val="0"/>
                      <w:divBdr>
                        <w:top w:val="none" w:sz="0" w:space="0" w:color="auto"/>
                        <w:left w:val="none" w:sz="0" w:space="0" w:color="auto"/>
                        <w:bottom w:val="none" w:sz="0" w:space="0" w:color="auto"/>
                        <w:right w:val="none" w:sz="0" w:space="0" w:color="auto"/>
                      </w:divBdr>
                    </w:div>
                  </w:divsChild>
                </w:div>
                <w:div w:id="1230381587">
                  <w:marLeft w:val="0"/>
                  <w:marRight w:val="0"/>
                  <w:marTop w:val="0"/>
                  <w:marBottom w:val="0"/>
                  <w:divBdr>
                    <w:top w:val="none" w:sz="0" w:space="0" w:color="auto"/>
                    <w:left w:val="none" w:sz="0" w:space="0" w:color="auto"/>
                    <w:bottom w:val="none" w:sz="0" w:space="0" w:color="auto"/>
                    <w:right w:val="none" w:sz="0" w:space="0" w:color="auto"/>
                  </w:divBdr>
                  <w:divsChild>
                    <w:div w:id="861937965">
                      <w:marLeft w:val="0"/>
                      <w:marRight w:val="0"/>
                      <w:marTop w:val="0"/>
                      <w:marBottom w:val="0"/>
                      <w:divBdr>
                        <w:top w:val="none" w:sz="0" w:space="0" w:color="auto"/>
                        <w:left w:val="none" w:sz="0" w:space="0" w:color="auto"/>
                        <w:bottom w:val="none" w:sz="0" w:space="0" w:color="auto"/>
                        <w:right w:val="none" w:sz="0" w:space="0" w:color="auto"/>
                      </w:divBdr>
                    </w:div>
                  </w:divsChild>
                </w:div>
                <w:div w:id="235824719">
                  <w:marLeft w:val="0"/>
                  <w:marRight w:val="0"/>
                  <w:marTop w:val="0"/>
                  <w:marBottom w:val="0"/>
                  <w:divBdr>
                    <w:top w:val="none" w:sz="0" w:space="0" w:color="auto"/>
                    <w:left w:val="none" w:sz="0" w:space="0" w:color="auto"/>
                    <w:bottom w:val="none" w:sz="0" w:space="0" w:color="auto"/>
                    <w:right w:val="none" w:sz="0" w:space="0" w:color="auto"/>
                  </w:divBdr>
                  <w:divsChild>
                    <w:div w:id="1038360201">
                      <w:marLeft w:val="0"/>
                      <w:marRight w:val="0"/>
                      <w:marTop w:val="0"/>
                      <w:marBottom w:val="0"/>
                      <w:divBdr>
                        <w:top w:val="none" w:sz="0" w:space="0" w:color="auto"/>
                        <w:left w:val="none" w:sz="0" w:space="0" w:color="auto"/>
                        <w:bottom w:val="none" w:sz="0" w:space="0" w:color="auto"/>
                        <w:right w:val="none" w:sz="0" w:space="0" w:color="auto"/>
                      </w:divBdr>
                    </w:div>
                  </w:divsChild>
                </w:div>
                <w:div w:id="1934625481">
                  <w:marLeft w:val="0"/>
                  <w:marRight w:val="0"/>
                  <w:marTop w:val="0"/>
                  <w:marBottom w:val="0"/>
                  <w:divBdr>
                    <w:top w:val="none" w:sz="0" w:space="0" w:color="auto"/>
                    <w:left w:val="none" w:sz="0" w:space="0" w:color="auto"/>
                    <w:bottom w:val="none" w:sz="0" w:space="0" w:color="auto"/>
                    <w:right w:val="none" w:sz="0" w:space="0" w:color="auto"/>
                  </w:divBdr>
                  <w:divsChild>
                    <w:div w:id="405497512">
                      <w:marLeft w:val="0"/>
                      <w:marRight w:val="0"/>
                      <w:marTop w:val="0"/>
                      <w:marBottom w:val="0"/>
                      <w:divBdr>
                        <w:top w:val="none" w:sz="0" w:space="0" w:color="auto"/>
                        <w:left w:val="none" w:sz="0" w:space="0" w:color="auto"/>
                        <w:bottom w:val="none" w:sz="0" w:space="0" w:color="auto"/>
                        <w:right w:val="none" w:sz="0" w:space="0" w:color="auto"/>
                      </w:divBdr>
                    </w:div>
                  </w:divsChild>
                </w:div>
                <w:div w:id="472068045">
                  <w:marLeft w:val="0"/>
                  <w:marRight w:val="0"/>
                  <w:marTop w:val="0"/>
                  <w:marBottom w:val="0"/>
                  <w:divBdr>
                    <w:top w:val="none" w:sz="0" w:space="0" w:color="auto"/>
                    <w:left w:val="none" w:sz="0" w:space="0" w:color="auto"/>
                    <w:bottom w:val="none" w:sz="0" w:space="0" w:color="auto"/>
                    <w:right w:val="none" w:sz="0" w:space="0" w:color="auto"/>
                  </w:divBdr>
                  <w:divsChild>
                    <w:div w:id="1319460448">
                      <w:marLeft w:val="0"/>
                      <w:marRight w:val="0"/>
                      <w:marTop w:val="0"/>
                      <w:marBottom w:val="0"/>
                      <w:divBdr>
                        <w:top w:val="none" w:sz="0" w:space="0" w:color="auto"/>
                        <w:left w:val="none" w:sz="0" w:space="0" w:color="auto"/>
                        <w:bottom w:val="none" w:sz="0" w:space="0" w:color="auto"/>
                        <w:right w:val="none" w:sz="0" w:space="0" w:color="auto"/>
                      </w:divBdr>
                    </w:div>
                  </w:divsChild>
                </w:div>
                <w:div w:id="2018536171">
                  <w:marLeft w:val="0"/>
                  <w:marRight w:val="0"/>
                  <w:marTop w:val="0"/>
                  <w:marBottom w:val="0"/>
                  <w:divBdr>
                    <w:top w:val="none" w:sz="0" w:space="0" w:color="auto"/>
                    <w:left w:val="none" w:sz="0" w:space="0" w:color="auto"/>
                    <w:bottom w:val="none" w:sz="0" w:space="0" w:color="auto"/>
                    <w:right w:val="none" w:sz="0" w:space="0" w:color="auto"/>
                  </w:divBdr>
                  <w:divsChild>
                    <w:div w:id="1949310474">
                      <w:marLeft w:val="0"/>
                      <w:marRight w:val="0"/>
                      <w:marTop w:val="0"/>
                      <w:marBottom w:val="0"/>
                      <w:divBdr>
                        <w:top w:val="none" w:sz="0" w:space="0" w:color="auto"/>
                        <w:left w:val="none" w:sz="0" w:space="0" w:color="auto"/>
                        <w:bottom w:val="none" w:sz="0" w:space="0" w:color="auto"/>
                        <w:right w:val="none" w:sz="0" w:space="0" w:color="auto"/>
                      </w:divBdr>
                    </w:div>
                  </w:divsChild>
                </w:div>
                <w:div w:id="2075546186">
                  <w:marLeft w:val="0"/>
                  <w:marRight w:val="0"/>
                  <w:marTop w:val="0"/>
                  <w:marBottom w:val="0"/>
                  <w:divBdr>
                    <w:top w:val="none" w:sz="0" w:space="0" w:color="auto"/>
                    <w:left w:val="none" w:sz="0" w:space="0" w:color="auto"/>
                    <w:bottom w:val="none" w:sz="0" w:space="0" w:color="auto"/>
                    <w:right w:val="none" w:sz="0" w:space="0" w:color="auto"/>
                  </w:divBdr>
                  <w:divsChild>
                    <w:div w:id="1593392349">
                      <w:marLeft w:val="0"/>
                      <w:marRight w:val="0"/>
                      <w:marTop w:val="0"/>
                      <w:marBottom w:val="0"/>
                      <w:divBdr>
                        <w:top w:val="none" w:sz="0" w:space="0" w:color="auto"/>
                        <w:left w:val="none" w:sz="0" w:space="0" w:color="auto"/>
                        <w:bottom w:val="none" w:sz="0" w:space="0" w:color="auto"/>
                        <w:right w:val="none" w:sz="0" w:space="0" w:color="auto"/>
                      </w:divBdr>
                    </w:div>
                  </w:divsChild>
                </w:div>
                <w:div w:id="849567269">
                  <w:marLeft w:val="0"/>
                  <w:marRight w:val="0"/>
                  <w:marTop w:val="0"/>
                  <w:marBottom w:val="0"/>
                  <w:divBdr>
                    <w:top w:val="none" w:sz="0" w:space="0" w:color="auto"/>
                    <w:left w:val="none" w:sz="0" w:space="0" w:color="auto"/>
                    <w:bottom w:val="none" w:sz="0" w:space="0" w:color="auto"/>
                    <w:right w:val="none" w:sz="0" w:space="0" w:color="auto"/>
                  </w:divBdr>
                  <w:divsChild>
                    <w:div w:id="327832033">
                      <w:marLeft w:val="0"/>
                      <w:marRight w:val="0"/>
                      <w:marTop w:val="0"/>
                      <w:marBottom w:val="0"/>
                      <w:divBdr>
                        <w:top w:val="none" w:sz="0" w:space="0" w:color="auto"/>
                        <w:left w:val="none" w:sz="0" w:space="0" w:color="auto"/>
                        <w:bottom w:val="none" w:sz="0" w:space="0" w:color="auto"/>
                        <w:right w:val="none" w:sz="0" w:space="0" w:color="auto"/>
                      </w:divBdr>
                    </w:div>
                  </w:divsChild>
                </w:div>
                <w:div w:id="1810441169">
                  <w:marLeft w:val="0"/>
                  <w:marRight w:val="0"/>
                  <w:marTop w:val="0"/>
                  <w:marBottom w:val="0"/>
                  <w:divBdr>
                    <w:top w:val="none" w:sz="0" w:space="0" w:color="auto"/>
                    <w:left w:val="none" w:sz="0" w:space="0" w:color="auto"/>
                    <w:bottom w:val="none" w:sz="0" w:space="0" w:color="auto"/>
                    <w:right w:val="none" w:sz="0" w:space="0" w:color="auto"/>
                  </w:divBdr>
                  <w:divsChild>
                    <w:div w:id="1646818091">
                      <w:marLeft w:val="0"/>
                      <w:marRight w:val="0"/>
                      <w:marTop w:val="0"/>
                      <w:marBottom w:val="0"/>
                      <w:divBdr>
                        <w:top w:val="none" w:sz="0" w:space="0" w:color="auto"/>
                        <w:left w:val="none" w:sz="0" w:space="0" w:color="auto"/>
                        <w:bottom w:val="none" w:sz="0" w:space="0" w:color="auto"/>
                        <w:right w:val="none" w:sz="0" w:space="0" w:color="auto"/>
                      </w:divBdr>
                    </w:div>
                  </w:divsChild>
                </w:div>
                <w:div w:id="676344291">
                  <w:marLeft w:val="0"/>
                  <w:marRight w:val="0"/>
                  <w:marTop w:val="0"/>
                  <w:marBottom w:val="0"/>
                  <w:divBdr>
                    <w:top w:val="none" w:sz="0" w:space="0" w:color="auto"/>
                    <w:left w:val="none" w:sz="0" w:space="0" w:color="auto"/>
                    <w:bottom w:val="none" w:sz="0" w:space="0" w:color="auto"/>
                    <w:right w:val="none" w:sz="0" w:space="0" w:color="auto"/>
                  </w:divBdr>
                  <w:divsChild>
                    <w:div w:id="585770201">
                      <w:marLeft w:val="0"/>
                      <w:marRight w:val="0"/>
                      <w:marTop w:val="0"/>
                      <w:marBottom w:val="0"/>
                      <w:divBdr>
                        <w:top w:val="none" w:sz="0" w:space="0" w:color="auto"/>
                        <w:left w:val="none" w:sz="0" w:space="0" w:color="auto"/>
                        <w:bottom w:val="none" w:sz="0" w:space="0" w:color="auto"/>
                        <w:right w:val="none" w:sz="0" w:space="0" w:color="auto"/>
                      </w:divBdr>
                    </w:div>
                  </w:divsChild>
                </w:div>
                <w:div w:id="686256411">
                  <w:marLeft w:val="0"/>
                  <w:marRight w:val="0"/>
                  <w:marTop w:val="0"/>
                  <w:marBottom w:val="0"/>
                  <w:divBdr>
                    <w:top w:val="none" w:sz="0" w:space="0" w:color="auto"/>
                    <w:left w:val="none" w:sz="0" w:space="0" w:color="auto"/>
                    <w:bottom w:val="none" w:sz="0" w:space="0" w:color="auto"/>
                    <w:right w:val="none" w:sz="0" w:space="0" w:color="auto"/>
                  </w:divBdr>
                  <w:divsChild>
                    <w:div w:id="1795639993">
                      <w:marLeft w:val="0"/>
                      <w:marRight w:val="0"/>
                      <w:marTop w:val="0"/>
                      <w:marBottom w:val="0"/>
                      <w:divBdr>
                        <w:top w:val="none" w:sz="0" w:space="0" w:color="auto"/>
                        <w:left w:val="none" w:sz="0" w:space="0" w:color="auto"/>
                        <w:bottom w:val="none" w:sz="0" w:space="0" w:color="auto"/>
                        <w:right w:val="none" w:sz="0" w:space="0" w:color="auto"/>
                      </w:divBdr>
                    </w:div>
                  </w:divsChild>
                </w:div>
                <w:div w:id="986324378">
                  <w:marLeft w:val="0"/>
                  <w:marRight w:val="0"/>
                  <w:marTop w:val="0"/>
                  <w:marBottom w:val="0"/>
                  <w:divBdr>
                    <w:top w:val="none" w:sz="0" w:space="0" w:color="auto"/>
                    <w:left w:val="none" w:sz="0" w:space="0" w:color="auto"/>
                    <w:bottom w:val="none" w:sz="0" w:space="0" w:color="auto"/>
                    <w:right w:val="none" w:sz="0" w:space="0" w:color="auto"/>
                  </w:divBdr>
                  <w:divsChild>
                    <w:div w:id="1272317790">
                      <w:marLeft w:val="0"/>
                      <w:marRight w:val="0"/>
                      <w:marTop w:val="0"/>
                      <w:marBottom w:val="0"/>
                      <w:divBdr>
                        <w:top w:val="none" w:sz="0" w:space="0" w:color="auto"/>
                        <w:left w:val="none" w:sz="0" w:space="0" w:color="auto"/>
                        <w:bottom w:val="none" w:sz="0" w:space="0" w:color="auto"/>
                        <w:right w:val="none" w:sz="0" w:space="0" w:color="auto"/>
                      </w:divBdr>
                    </w:div>
                  </w:divsChild>
                </w:div>
                <w:div w:id="327752084">
                  <w:marLeft w:val="0"/>
                  <w:marRight w:val="0"/>
                  <w:marTop w:val="0"/>
                  <w:marBottom w:val="0"/>
                  <w:divBdr>
                    <w:top w:val="none" w:sz="0" w:space="0" w:color="auto"/>
                    <w:left w:val="none" w:sz="0" w:space="0" w:color="auto"/>
                    <w:bottom w:val="none" w:sz="0" w:space="0" w:color="auto"/>
                    <w:right w:val="none" w:sz="0" w:space="0" w:color="auto"/>
                  </w:divBdr>
                  <w:divsChild>
                    <w:div w:id="701327748">
                      <w:marLeft w:val="0"/>
                      <w:marRight w:val="0"/>
                      <w:marTop w:val="0"/>
                      <w:marBottom w:val="0"/>
                      <w:divBdr>
                        <w:top w:val="none" w:sz="0" w:space="0" w:color="auto"/>
                        <w:left w:val="none" w:sz="0" w:space="0" w:color="auto"/>
                        <w:bottom w:val="none" w:sz="0" w:space="0" w:color="auto"/>
                        <w:right w:val="none" w:sz="0" w:space="0" w:color="auto"/>
                      </w:divBdr>
                    </w:div>
                  </w:divsChild>
                </w:div>
                <w:div w:id="1663118506">
                  <w:marLeft w:val="0"/>
                  <w:marRight w:val="0"/>
                  <w:marTop w:val="0"/>
                  <w:marBottom w:val="0"/>
                  <w:divBdr>
                    <w:top w:val="none" w:sz="0" w:space="0" w:color="auto"/>
                    <w:left w:val="none" w:sz="0" w:space="0" w:color="auto"/>
                    <w:bottom w:val="none" w:sz="0" w:space="0" w:color="auto"/>
                    <w:right w:val="none" w:sz="0" w:space="0" w:color="auto"/>
                  </w:divBdr>
                  <w:divsChild>
                    <w:div w:id="1664505828">
                      <w:marLeft w:val="0"/>
                      <w:marRight w:val="0"/>
                      <w:marTop w:val="0"/>
                      <w:marBottom w:val="0"/>
                      <w:divBdr>
                        <w:top w:val="none" w:sz="0" w:space="0" w:color="auto"/>
                        <w:left w:val="none" w:sz="0" w:space="0" w:color="auto"/>
                        <w:bottom w:val="none" w:sz="0" w:space="0" w:color="auto"/>
                        <w:right w:val="none" w:sz="0" w:space="0" w:color="auto"/>
                      </w:divBdr>
                    </w:div>
                  </w:divsChild>
                </w:div>
                <w:div w:id="1348211759">
                  <w:marLeft w:val="0"/>
                  <w:marRight w:val="0"/>
                  <w:marTop w:val="0"/>
                  <w:marBottom w:val="0"/>
                  <w:divBdr>
                    <w:top w:val="none" w:sz="0" w:space="0" w:color="auto"/>
                    <w:left w:val="none" w:sz="0" w:space="0" w:color="auto"/>
                    <w:bottom w:val="none" w:sz="0" w:space="0" w:color="auto"/>
                    <w:right w:val="none" w:sz="0" w:space="0" w:color="auto"/>
                  </w:divBdr>
                  <w:divsChild>
                    <w:div w:id="2099205458">
                      <w:marLeft w:val="0"/>
                      <w:marRight w:val="0"/>
                      <w:marTop w:val="0"/>
                      <w:marBottom w:val="0"/>
                      <w:divBdr>
                        <w:top w:val="none" w:sz="0" w:space="0" w:color="auto"/>
                        <w:left w:val="none" w:sz="0" w:space="0" w:color="auto"/>
                        <w:bottom w:val="none" w:sz="0" w:space="0" w:color="auto"/>
                        <w:right w:val="none" w:sz="0" w:space="0" w:color="auto"/>
                      </w:divBdr>
                    </w:div>
                  </w:divsChild>
                </w:div>
                <w:div w:id="689769130">
                  <w:marLeft w:val="0"/>
                  <w:marRight w:val="0"/>
                  <w:marTop w:val="0"/>
                  <w:marBottom w:val="0"/>
                  <w:divBdr>
                    <w:top w:val="none" w:sz="0" w:space="0" w:color="auto"/>
                    <w:left w:val="none" w:sz="0" w:space="0" w:color="auto"/>
                    <w:bottom w:val="none" w:sz="0" w:space="0" w:color="auto"/>
                    <w:right w:val="none" w:sz="0" w:space="0" w:color="auto"/>
                  </w:divBdr>
                  <w:divsChild>
                    <w:div w:id="1349792779">
                      <w:marLeft w:val="0"/>
                      <w:marRight w:val="0"/>
                      <w:marTop w:val="0"/>
                      <w:marBottom w:val="0"/>
                      <w:divBdr>
                        <w:top w:val="none" w:sz="0" w:space="0" w:color="auto"/>
                        <w:left w:val="none" w:sz="0" w:space="0" w:color="auto"/>
                        <w:bottom w:val="none" w:sz="0" w:space="0" w:color="auto"/>
                        <w:right w:val="none" w:sz="0" w:space="0" w:color="auto"/>
                      </w:divBdr>
                    </w:div>
                  </w:divsChild>
                </w:div>
                <w:div w:id="1171332990">
                  <w:marLeft w:val="0"/>
                  <w:marRight w:val="0"/>
                  <w:marTop w:val="0"/>
                  <w:marBottom w:val="0"/>
                  <w:divBdr>
                    <w:top w:val="none" w:sz="0" w:space="0" w:color="auto"/>
                    <w:left w:val="none" w:sz="0" w:space="0" w:color="auto"/>
                    <w:bottom w:val="none" w:sz="0" w:space="0" w:color="auto"/>
                    <w:right w:val="none" w:sz="0" w:space="0" w:color="auto"/>
                  </w:divBdr>
                  <w:divsChild>
                    <w:div w:id="500392802">
                      <w:marLeft w:val="0"/>
                      <w:marRight w:val="0"/>
                      <w:marTop w:val="0"/>
                      <w:marBottom w:val="0"/>
                      <w:divBdr>
                        <w:top w:val="none" w:sz="0" w:space="0" w:color="auto"/>
                        <w:left w:val="none" w:sz="0" w:space="0" w:color="auto"/>
                        <w:bottom w:val="none" w:sz="0" w:space="0" w:color="auto"/>
                        <w:right w:val="none" w:sz="0" w:space="0" w:color="auto"/>
                      </w:divBdr>
                    </w:div>
                  </w:divsChild>
                </w:div>
                <w:div w:id="1471482247">
                  <w:marLeft w:val="0"/>
                  <w:marRight w:val="0"/>
                  <w:marTop w:val="0"/>
                  <w:marBottom w:val="0"/>
                  <w:divBdr>
                    <w:top w:val="none" w:sz="0" w:space="0" w:color="auto"/>
                    <w:left w:val="none" w:sz="0" w:space="0" w:color="auto"/>
                    <w:bottom w:val="none" w:sz="0" w:space="0" w:color="auto"/>
                    <w:right w:val="none" w:sz="0" w:space="0" w:color="auto"/>
                  </w:divBdr>
                  <w:divsChild>
                    <w:div w:id="712996050">
                      <w:marLeft w:val="0"/>
                      <w:marRight w:val="0"/>
                      <w:marTop w:val="0"/>
                      <w:marBottom w:val="0"/>
                      <w:divBdr>
                        <w:top w:val="none" w:sz="0" w:space="0" w:color="auto"/>
                        <w:left w:val="none" w:sz="0" w:space="0" w:color="auto"/>
                        <w:bottom w:val="none" w:sz="0" w:space="0" w:color="auto"/>
                        <w:right w:val="none" w:sz="0" w:space="0" w:color="auto"/>
                      </w:divBdr>
                    </w:div>
                  </w:divsChild>
                </w:div>
                <w:div w:id="2093040072">
                  <w:marLeft w:val="0"/>
                  <w:marRight w:val="0"/>
                  <w:marTop w:val="0"/>
                  <w:marBottom w:val="0"/>
                  <w:divBdr>
                    <w:top w:val="none" w:sz="0" w:space="0" w:color="auto"/>
                    <w:left w:val="none" w:sz="0" w:space="0" w:color="auto"/>
                    <w:bottom w:val="none" w:sz="0" w:space="0" w:color="auto"/>
                    <w:right w:val="none" w:sz="0" w:space="0" w:color="auto"/>
                  </w:divBdr>
                  <w:divsChild>
                    <w:div w:id="93483176">
                      <w:marLeft w:val="0"/>
                      <w:marRight w:val="0"/>
                      <w:marTop w:val="0"/>
                      <w:marBottom w:val="0"/>
                      <w:divBdr>
                        <w:top w:val="none" w:sz="0" w:space="0" w:color="auto"/>
                        <w:left w:val="none" w:sz="0" w:space="0" w:color="auto"/>
                        <w:bottom w:val="none" w:sz="0" w:space="0" w:color="auto"/>
                        <w:right w:val="none" w:sz="0" w:space="0" w:color="auto"/>
                      </w:divBdr>
                    </w:div>
                  </w:divsChild>
                </w:div>
                <w:div w:id="1006128827">
                  <w:marLeft w:val="0"/>
                  <w:marRight w:val="0"/>
                  <w:marTop w:val="0"/>
                  <w:marBottom w:val="0"/>
                  <w:divBdr>
                    <w:top w:val="none" w:sz="0" w:space="0" w:color="auto"/>
                    <w:left w:val="none" w:sz="0" w:space="0" w:color="auto"/>
                    <w:bottom w:val="none" w:sz="0" w:space="0" w:color="auto"/>
                    <w:right w:val="none" w:sz="0" w:space="0" w:color="auto"/>
                  </w:divBdr>
                  <w:divsChild>
                    <w:div w:id="721094498">
                      <w:marLeft w:val="0"/>
                      <w:marRight w:val="0"/>
                      <w:marTop w:val="0"/>
                      <w:marBottom w:val="0"/>
                      <w:divBdr>
                        <w:top w:val="none" w:sz="0" w:space="0" w:color="auto"/>
                        <w:left w:val="none" w:sz="0" w:space="0" w:color="auto"/>
                        <w:bottom w:val="none" w:sz="0" w:space="0" w:color="auto"/>
                        <w:right w:val="none" w:sz="0" w:space="0" w:color="auto"/>
                      </w:divBdr>
                    </w:div>
                  </w:divsChild>
                </w:div>
                <w:div w:id="235172020">
                  <w:marLeft w:val="0"/>
                  <w:marRight w:val="0"/>
                  <w:marTop w:val="0"/>
                  <w:marBottom w:val="0"/>
                  <w:divBdr>
                    <w:top w:val="none" w:sz="0" w:space="0" w:color="auto"/>
                    <w:left w:val="none" w:sz="0" w:space="0" w:color="auto"/>
                    <w:bottom w:val="none" w:sz="0" w:space="0" w:color="auto"/>
                    <w:right w:val="none" w:sz="0" w:space="0" w:color="auto"/>
                  </w:divBdr>
                  <w:divsChild>
                    <w:div w:id="225803587">
                      <w:marLeft w:val="0"/>
                      <w:marRight w:val="0"/>
                      <w:marTop w:val="0"/>
                      <w:marBottom w:val="0"/>
                      <w:divBdr>
                        <w:top w:val="none" w:sz="0" w:space="0" w:color="auto"/>
                        <w:left w:val="none" w:sz="0" w:space="0" w:color="auto"/>
                        <w:bottom w:val="none" w:sz="0" w:space="0" w:color="auto"/>
                        <w:right w:val="none" w:sz="0" w:space="0" w:color="auto"/>
                      </w:divBdr>
                    </w:div>
                  </w:divsChild>
                </w:div>
                <w:div w:id="1373925441">
                  <w:marLeft w:val="0"/>
                  <w:marRight w:val="0"/>
                  <w:marTop w:val="0"/>
                  <w:marBottom w:val="0"/>
                  <w:divBdr>
                    <w:top w:val="none" w:sz="0" w:space="0" w:color="auto"/>
                    <w:left w:val="none" w:sz="0" w:space="0" w:color="auto"/>
                    <w:bottom w:val="none" w:sz="0" w:space="0" w:color="auto"/>
                    <w:right w:val="none" w:sz="0" w:space="0" w:color="auto"/>
                  </w:divBdr>
                  <w:divsChild>
                    <w:div w:id="1688827991">
                      <w:marLeft w:val="0"/>
                      <w:marRight w:val="0"/>
                      <w:marTop w:val="0"/>
                      <w:marBottom w:val="0"/>
                      <w:divBdr>
                        <w:top w:val="none" w:sz="0" w:space="0" w:color="auto"/>
                        <w:left w:val="none" w:sz="0" w:space="0" w:color="auto"/>
                        <w:bottom w:val="none" w:sz="0" w:space="0" w:color="auto"/>
                        <w:right w:val="none" w:sz="0" w:space="0" w:color="auto"/>
                      </w:divBdr>
                    </w:div>
                  </w:divsChild>
                </w:div>
                <w:div w:id="1035540915">
                  <w:marLeft w:val="0"/>
                  <w:marRight w:val="0"/>
                  <w:marTop w:val="0"/>
                  <w:marBottom w:val="0"/>
                  <w:divBdr>
                    <w:top w:val="none" w:sz="0" w:space="0" w:color="auto"/>
                    <w:left w:val="none" w:sz="0" w:space="0" w:color="auto"/>
                    <w:bottom w:val="none" w:sz="0" w:space="0" w:color="auto"/>
                    <w:right w:val="none" w:sz="0" w:space="0" w:color="auto"/>
                  </w:divBdr>
                  <w:divsChild>
                    <w:div w:id="445587503">
                      <w:marLeft w:val="0"/>
                      <w:marRight w:val="0"/>
                      <w:marTop w:val="0"/>
                      <w:marBottom w:val="0"/>
                      <w:divBdr>
                        <w:top w:val="none" w:sz="0" w:space="0" w:color="auto"/>
                        <w:left w:val="none" w:sz="0" w:space="0" w:color="auto"/>
                        <w:bottom w:val="none" w:sz="0" w:space="0" w:color="auto"/>
                        <w:right w:val="none" w:sz="0" w:space="0" w:color="auto"/>
                      </w:divBdr>
                    </w:div>
                  </w:divsChild>
                </w:div>
                <w:div w:id="294870144">
                  <w:marLeft w:val="0"/>
                  <w:marRight w:val="0"/>
                  <w:marTop w:val="0"/>
                  <w:marBottom w:val="0"/>
                  <w:divBdr>
                    <w:top w:val="none" w:sz="0" w:space="0" w:color="auto"/>
                    <w:left w:val="none" w:sz="0" w:space="0" w:color="auto"/>
                    <w:bottom w:val="none" w:sz="0" w:space="0" w:color="auto"/>
                    <w:right w:val="none" w:sz="0" w:space="0" w:color="auto"/>
                  </w:divBdr>
                  <w:divsChild>
                    <w:div w:id="99378957">
                      <w:marLeft w:val="0"/>
                      <w:marRight w:val="0"/>
                      <w:marTop w:val="0"/>
                      <w:marBottom w:val="0"/>
                      <w:divBdr>
                        <w:top w:val="none" w:sz="0" w:space="0" w:color="auto"/>
                        <w:left w:val="none" w:sz="0" w:space="0" w:color="auto"/>
                        <w:bottom w:val="none" w:sz="0" w:space="0" w:color="auto"/>
                        <w:right w:val="none" w:sz="0" w:space="0" w:color="auto"/>
                      </w:divBdr>
                    </w:div>
                  </w:divsChild>
                </w:div>
                <w:div w:id="2113891683">
                  <w:marLeft w:val="0"/>
                  <w:marRight w:val="0"/>
                  <w:marTop w:val="0"/>
                  <w:marBottom w:val="0"/>
                  <w:divBdr>
                    <w:top w:val="none" w:sz="0" w:space="0" w:color="auto"/>
                    <w:left w:val="none" w:sz="0" w:space="0" w:color="auto"/>
                    <w:bottom w:val="none" w:sz="0" w:space="0" w:color="auto"/>
                    <w:right w:val="none" w:sz="0" w:space="0" w:color="auto"/>
                  </w:divBdr>
                  <w:divsChild>
                    <w:div w:id="1095710073">
                      <w:marLeft w:val="0"/>
                      <w:marRight w:val="0"/>
                      <w:marTop w:val="0"/>
                      <w:marBottom w:val="0"/>
                      <w:divBdr>
                        <w:top w:val="none" w:sz="0" w:space="0" w:color="auto"/>
                        <w:left w:val="none" w:sz="0" w:space="0" w:color="auto"/>
                        <w:bottom w:val="none" w:sz="0" w:space="0" w:color="auto"/>
                        <w:right w:val="none" w:sz="0" w:space="0" w:color="auto"/>
                      </w:divBdr>
                    </w:div>
                  </w:divsChild>
                </w:div>
                <w:div w:id="844712598">
                  <w:marLeft w:val="0"/>
                  <w:marRight w:val="0"/>
                  <w:marTop w:val="0"/>
                  <w:marBottom w:val="0"/>
                  <w:divBdr>
                    <w:top w:val="none" w:sz="0" w:space="0" w:color="auto"/>
                    <w:left w:val="none" w:sz="0" w:space="0" w:color="auto"/>
                    <w:bottom w:val="none" w:sz="0" w:space="0" w:color="auto"/>
                    <w:right w:val="none" w:sz="0" w:space="0" w:color="auto"/>
                  </w:divBdr>
                  <w:divsChild>
                    <w:div w:id="576523790">
                      <w:marLeft w:val="0"/>
                      <w:marRight w:val="0"/>
                      <w:marTop w:val="0"/>
                      <w:marBottom w:val="0"/>
                      <w:divBdr>
                        <w:top w:val="none" w:sz="0" w:space="0" w:color="auto"/>
                        <w:left w:val="none" w:sz="0" w:space="0" w:color="auto"/>
                        <w:bottom w:val="none" w:sz="0" w:space="0" w:color="auto"/>
                        <w:right w:val="none" w:sz="0" w:space="0" w:color="auto"/>
                      </w:divBdr>
                    </w:div>
                  </w:divsChild>
                </w:div>
                <w:div w:id="86855649">
                  <w:marLeft w:val="0"/>
                  <w:marRight w:val="0"/>
                  <w:marTop w:val="0"/>
                  <w:marBottom w:val="0"/>
                  <w:divBdr>
                    <w:top w:val="none" w:sz="0" w:space="0" w:color="auto"/>
                    <w:left w:val="none" w:sz="0" w:space="0" w:color="auto"/>
                    <w:bottom w:val="none" w:sz="0" w:space="0" w:color="auto"/>
                    <w:right w:val="none" w:sz="0" w:space="0" w:color="auto"/>
                  </w:divBdr>
                  <w:divsChild>
                    <w:div w:id="1796827367">
                      <w:marLeft w:val="0"/>
                      <w:marRight w:val="0"/>
                      <w:marTop w:val="0"/>
                      <w:marBottom w:val="0"/>
                      <w:divBdr>
                        <w:top w:val="none" w:sz="0" w:space="0" w:color="auto"/>
                        <w:left w:val="none" w:sz="0" w:space="0" w:color="auto"/>
                        <w:bottom w:val="none" w:sz="0" w:space="0" w:color="auto"/>
                        <w:right w:val="none" w:sz="0" w:space="0" w:color="auto"/>
                      </w:divBdr>
                    </w:div>
                  </w:divsChild>
                </w:div>
                <w:div w:id="1518425438">
                  <w:marLeft w:val="0"/>
                  <w:marRight w:val="0"/>
                  <w:marTop w:val="0"/>
                  <w:marBottom w:val="0"/>
                  <w:divBdr>
                    <w:top w:val="none" w:sz="0" w:space="0" w:color="auto"/>
                    <w:left w:val="none" w:sz="0" w:space="0" w:color="auto"/>
                    <w:bottom w:val="none" w:sz="0" w:space="0" w:color="auto"/>
                    <w:right w:val="none" w:sz="0" w:space="0" w:color="auto"/>
                  </w:divBdr>
                  <w:divsChild>
                    <w:div w:id="277034517">
                      <w:marLeft w:val="0"/>
                      <w:marRight w:val="0"/>
                      <w:marTop w:val="0"/>
                      <w:marBottom w:val="0"/>
                      <w:divBdr>
                        <w:top w:val="none" w:sz="0" w:space="0" w:color="auto"/>
                        <w:left w:val="none" w:sz="0" w:space="0" w:color="auto"/>
                        <w:bottom w:val="none" w:sz="0" w:space="0" w:color="auto"/>
                        <w:right w:val="none" w:sz="0" w:space="0" w:color="auto"/>
                      </w:divBdr>
                    </w:div>
                  </w:divsChild>
                </w:div>
                <w:div w:id="1772816673">
                  <w:marLeft w:val="0"/>
                  <w:marRight w:val="0"/>
                  <w:marTop w:val="0"/>
                  <w:marBottom w:val="0"/>
                  <w:divBdr>
                    <w:top w:val="none" w:sz="0" w:space="0" w:color="auto"/>
                    <w:left w:val="none" w:sz="0" w:space="0" w:color="auto"/>
                    <w:bottom w:val="none" w:sz="0" w:space="0" w:color="auto"/>
                    <w:right w:val="none" w:sz="0" w:space="0" w:color="auto"/>
                  </w:divBdr>
                  <w:divsChild>
                    <w:div w:id="393434608">
                      <w:marLeft w:val="0"/>
                      <w:marRight w:val="0"/>
                      <w:marTop w:val="0"/>
                      <w:marBottom w:val="0"/>
                      <w:divBdr>
                        <w:top w:val="none" w:sz="0" w:space="0" w:color="auto"/>
                        <w:left w:val="none" w:sz="0" w:space="0" w:color="auto"/>
                        <w:bottom w:val="none" w:sz="0" w:space="0" w:color="auto"/>
                        <w:right w:val="none" w:sz="0" w:space="0" w:color="auto"/>
                      </w:divBdr>
                    </w:div>
                  </w:divsChild>
                </w:div>
                <w:div w:id="1562859881">
                  <w:marLeft w:val="0"/>
                  <w:marRight w:val="0"/>
                  <w:marTop w:val="0"/>
                  <w:marBottom w:val="0"/>
                  <w:divBdr>
                    <w:top w:val="none" w:sz="0" w:space="0" w:color="auto"/>
                    <w:left w:val="none" w:sz="0" w:space="0" w:color="auto"/>
                    <w:bottom w:val="none" w:sz="0" w:space="0" w:color="auto"/>
                    <w:right w:val="none" w:sz="0" w:space="0" w:color="auto"/>
                  </w:divBdr>
                  <w:divsChild>
                    <w:div w:id="1188907776">
                      <w:marLeft w:val="0"/>
                      <w:marRight w:val="0"/>
                      <w:marTop w:val="0"/>
                      <w:marBottom w:val="0"/>
                      <w:divBdr>
                        <w:top w:val="none" w:sz="0" w:space="0" w:color="auto"/>
                        <w:left w:val="none" w:sz="0" w:space="0" w:color="auto"/>
                        <w:bottom w:val="none" w:sz="0" w:space="0" w:color="auto"/>
                        <w:right w:val="none" w:sz="0" w:space="0" w:color="auto"/>
                      </w:divBdr>
                    </w:div>
                  </w:divsChild>
                </w:div>
                <w:div w:id="1060976504">
                  <w:marLeft w:val="0"/>
                  <w:marRight w:val="0"/>
                  <w:marTop w:val="0"/>
                  <w:marBottom w:val="0"/>
                  <w:divBdr>
                    <w:top w:val="none" w:sz="0" w:space="0" w:color="auto"/>
                    <w:left w:val="none" w:sz="0" w:space="0" w:color="auto"/>
                    <w:bottom w:val="none" w:sz="0" w:space="0" w:color="auto"/>
                    <w:right w:val="none" w:sz="0" w:space="0" w:color="auto"/>
                  </w:divBdr>
                  <w:divsChild>
                    <w:div w:id="1133517917">
                      <w:marLeft w:val="0"/>
                      <w:marRight w:val="0"/>
                      <w:marTop w:val="0"/>
                      <w:marBottom w:val="0"/>
                      <w:divBdr>
                        <w:top w:val="none" w:sz="0" w:space="0" w:color="auto"/>
                        <w:left w:val="none" w:sz="0" w:space="0" w:color="auto"/>
                        <w:bottom w:val="none" w:sz="0" w:space="0" w:color="auto"/>
                        <w:right w:val="none" w:sz="0" w:space="0" w:color="auto"/>
                      </w:divBdr>
                    </w:div>
                  </w:divsChild>
                </w:div>
                <w:div w:id="649868020">
                  <w:marLeft w:val="0"/>
                  <w:marRight w:val="0"/>
                  <w:marTop w:val="0"/>
                  <w:marBottom w:val="0"/>
                  <w:divBdr>
                    <w:top w:val="none" w:sz="0" w:space="0" w:color="auto"/>
                    <w:left w:val="none" w:sz="0" w:space="0" w:color="auto"/>
                    <w:bottom w:val="none" w:sz="0" w:space="0" w:color="auto"/>
                    <w:right w:val="none" w:sz="0" w:space="0" w:color="auto"/>
                  </w:divBdr>
                  <w:divsChild>
                    <w:div w:id="482939146">
                      <w:marLeft w:val="0"/>
                      <w:marRight w:val="0"/>
                      <w:marTop w:val="0"/>
                      <w:marBottom w:val="0"/>
                      <w:divBdr>
                        <w:top w:val="none" w:sz="0" w:space="0" w:color="auto"/>
                        <w:left w:val="none" w:sz="0" w:space="0" w:color="auto"/>
                        <w:bottom w:val="none" w:sz="0" w:space="0" w:color="auto"/>
                        <w:right w:val="none" w:sz="0" w:space="0" w:color="auto"/>
                      </w:divBdr>
                    </w:div>
                  </w:divsChild>
                </w:div>
                <w:div w:id="2106998911">
                  <w:marLeft w:val="0"/>
                  <w:marRight w:val="0"/>
                  <w:marTop w:val="0"/>
                  <w:marBottom w:val="0"/>
                  <w:divBdr>
                    <w:top w:val="none" w:sz="0" w:space="0" w:color="auto"/>
                    <w:left w:val="none" w:sz="0" w:space="0" w:color="auto"/>
                    <w:bottom w:val="none" w:sz="0" w:space="0" w:color="auto"/>
                    <w:right w:val="none" w:sz="0" w:space="0" w:color="auto"/>
                  </w:divBdr>
                  <w:divsChild>
                    <w:div w:id="1309821547">
                      <w:marLeft w:val="0"/>
                      <w:marRight w:val="0"/>
                      <w:marTop w:val="0"/>
                      <w:marBottom w:val="0"/>
                      <w:divBdr>
                        <w:top w:val="none" w:sz="0" w:space="0" w:color="auto"/>
                        <w:left w:val="none" w:sz="0" w:space="0" w:color="auto"/>
                        <w:bottom w:val="none" w:sz="0" w:space="0" w:color="auto"/>
                        <w:right w:val="none" w:sz="0" w:space="0" w:color="auto"/>
                      </w:divBdr>
                    </w:div>
                  </w:divsChild>
                </w:div>
                <w:div w:id="341396555">
                  <w:marLeft w:val="0"/>
                  <w:marRight w:val="0"/>
                  <w:marTop w:val="0"/>
                  <w:marBottom w:val="0"/>
                  <w:divBdr>
                    <w:top w:val="none" w:sz="0" w:space="0" w:color="auto"/>
                    <w:left w:val="none" w:sz="0" w:space="0" w:color="auto"/>
                    <w:bottom w:val="none" w:sz="0" w:space="0" w:color="auto"/>
                    <w:right w:val="none" w:sz="0" w:space="0" w:color="auto"/>
                  </w:divBdr>
                  <w:divsChild>
                    <w:div w:id="177316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972429">
          <w:marLeft w:val="0"/>
          <w:marRight w:val="0"/>
          <w:marTop w:val="0"/>
          <w:marBottom w:val="0"/>
          <w:divBdr>
            <w:top w:val="none" w:sz="0" w:space="0" w:color="auto"/>
            <w:left w:val="none" w:sz="0" w:space="0" w:color="auto"/>
            <w:bottom w:val="none" w:sz="0" w:space="0" w:color="auto"/>
            <w:right w:val="none" w:sz="0" w:space="0" w:color="auto"/>
          </w:divBdr>
        </w:div>
        <w:div w:id="439573676">
          <w:marLeft w:val="0"/>
          <w:marRight w:val="0"/>
          <w:marTop w:val="0"/>
          <w:marBottom w:val="0"/>
          <w:divBdr>
            <w:top w:val="none" w:sz="0" w:space="0" w:color="auto"/>
            <w:left w:val="none" w:sz="0" w:space="0" w:color="auto"/>
            <w:bottom w:val="none" w:sz="0" w:space="0" w:color="auto"/>
            <w:right w:val="none" w:sz="0" w:space="0" w:color="auto"/>
          </w:divBdr>
        </w:div>
        <w:div w:id="727457931">
          <w:marLeft w:val="0"/>
          <w:marRight w:val="0"/>
          <w:marTop w:val="0"/>
          <w:marBottom w:val="0"/>
          <w:divBdr>
            <w:top w:val="none" w:sz="0" w:space="0" w:color="auto"/>
            <w:left w:val="none" w:sz="0" w:space="0" w:color="auto"/>
            <w:bottom w:val="none" w:sz="0" w:space="0" w:color="auto"/>
            <w:right w:val="none" w:sz="0" w:space="0" w:color="auto"/>
          </w:divBdr>
          <w:divsChild>
            <w:div w:id="316300696">
              <w:marLeft w:val="-75"/>
              <w:marRight w:val="0"/>
              <w:marTop w:val="30"/>
              <w:marBottom w:val="30"/>
              <w:divBdr>
                <w:top w:val="none" w:sz="0" w:space="0" w:color="auto"/>
                <w:left w:val="none" w:sz="0" w:space="0" w:color="auto"/>
                <w:bottom w:val="none" w:sz="0" w:space="0" w:color="auto"/>
                <w:right w:val="none" w:sz="0" w:space="0" w:color="auto"/>
              </w:divBdr>
              <w:divsChild>
                <w:div w:id="1708528792">
                  <w:marLeft w:val="0"/>
                  <w:marRight w:val="0"/>
                  <w:marTop w:val="0"/>
                  <w:marBottom w:val="0"/>
                  <w:divBdr>
                    <w:top w:val="none" w:sz="0" w:space="0" w:color="auto"/>
                    <w:left w:val="none" w:sz="0" w:space="0" w:color="auto"/>
                    <w:bottom w:val="none" w:sz="0" w:space="0" w:color="auto"/>
                    <w:right w:val="none" w:sz="0" w:space="0" w:color="auto"/>
                  </w:divBdr>
                  <w:divsChild>
                    <w:div w:id="1585530420">
                      <w:marLeft w:val="0"/>
                      <w:marRight w:val="0"/>
                      <w:marTop w:val="0"/>
                      <w:marBottom w:val="0"/>
                      <w:divBdr>
                        <w:top w:val="none" w:sz="0" w:space="0" w:color="auto"/>
                        <w:left w:val="none" w:sz="0" w:space="0" w:color="auto"/>
                        <w:bottom w:val="none" w:sz="0" w:space="0" w:color="auto"/>
                        <w:right w:val="none" w:sz="0" w:space="0" w:color="auto"/>
                      </w:divBdr>
                    </w:div>
                  </w:divsChild>
                </w:div>
                <w:div w:id="621963591">
                  <w:marLeft w:val="0"/>
                  <w:marRight w:val="0"/>
                  <w:marTop w:val="0"/>
                  <w:marBottom w:val="0"/>
                  <w:divBdr>
                    <w:top w:val="none" w:sz="0" w:space="0" w:color="auto"/>
                    <w:left w:val="none" w:sz="0" w:space="0" w:color="auto"/>
                    <w:bottom w:val="none" w:sz="0" w:space="0" w:color="auto"/>
                    <w:right w:val="none" w:sz="0" w:space="0" w:color="auto"/>
                  </w:divBdr>
                  <w:divsChild>
                    <w:div w:id="553739329">
                      <w:marLeft w:val="0"/>
                      <w:marRight w:val="0"/>
                      <w:marTop w:val="0"/>
                      <w:marBottom w:val="0"/>
                      <w:divBdr>
                        <w:top w:val="none" w:sz="0" w:space="0" w:color="auto"/>
                        <w:left w:val="none" w:sz="0" w:space="0" w:color="auto"/>
                        <w:bottom w:val="none" w:sz="0" w:space="0" w:color="auto"/>
                        <w:right w:val="none" w:sz="0" w:space="0" w:color="auto"/>
                      </w:divBdr>
                    </w:div>
                  </w:divsChild>
                </w:div>
                <w:div w:id="1009988747">
                  <w:marLeft w:val="0"/>
                  <w:marRight w:val="0"/>
                  <w:marTop w:val="0"/>
                  <w:marBottom w:val="0"/>
                  <w:divBdr>
                    <w:top w:val="none" w:sz="0" w:space="0" w:color="auto"/>
                    <w:left w:val="none" w:sz="0" w:space="0" w:color="auto"/>
                    <w:bottom w:val="none" w:sz="0" w:space="0" w:color="auto"/>
                    <w:right w:val="none" w:sz="0" w:space="0" w:color="auto"/>
                  </w:divBdr>
                  <w:divsChild>
                    <w:div w:id="1692534589">
                      <w:marLeft w:val="0"/>
                      <w:marRight w:val="0"/>
                      <w:marTop w:val="0"/>
                      <w:marBottom w:val="0"/>
                      <w:divBdr>
                        <w:top w:val="none" w:sz="0" w:space="0" w:color="auto"/>
                        <w:left w:val="none" w:sz="0" w:space="0" w:color="auto"/>
                        <w:bottom w:val="none" w:sz="0" w:space="0" w:color="auto"/>
                        <w:right w:val="none" w:sz="0" w:space="0" w:color="auto"/>
                      </w:divBdr>
                    </w:div>
                  </w:divsChild>
                </w:div>
                <w:div w:id="303699003">
                  <w:marLeft w:val="0"/>
                  <w:marRight w:val="0"/>
                  <w:marTop w:val="0"/>
                  <w:marBottom w:val="0"/>
                  <w:divBdr>
                    <w:top w:val="none" w:sz="0" w:space="0" w:color="auto"/>
                    <w:left w:val="none" w:sz="0" w:space="0" w:color="auto"/>
                    <w:bottom w:val="none" w:sz="0" w:space="0" w:color="auto"/>
                    <w:right w:val="none" w:sz="0" w:space="0" w:color="auto"/>
                  </w:divBdr>
                  <w:divsChild>
                    <w:div w:id="1025212215">
                      <w:marLeft w:val="0"/>
                      <w:marRight w:val="0"/>
                      <w:marTop w:val="0"/>
                      <w:marBottom w:val="0"/>
                      <w:divBdr>
                        <w:top w:val="none" w:sz="0" w:space="0" w:color="auto"/>
                        <w:left w:val="none" w:sz="0" w:space="0" w:color="auto"/>
                        <w:bottom w:val="none" w:sz="0" w:space="0" w:color="auto"/>
                        <w:right w:val="none" w:sz="0" w:space="0" w:color="auto"/>
                      </w:divBdr>
                    </w:div>
                  </w:divsChild>
                </w:div>
                <w:div w:id="1359814171">
                  <w:marLeft w:val="0"/>
                  <w:marRight w:val="0"/>
                  <w:marTop w:val="0"/>
                  <w:marBottom w:val="0"/>
                  <w:divBdr>
                    <w:top w:val="none" w:sz="0" w:space="0" w:color="auto"/>
                    <w:left w:val="none" w:sz="0" w:space="0" w:color="auto"/>
                    <w:bottom w:val="none" w:sz="0" w:space="0" w:color="auto"/>
                    <w:right w:val="none" w:sz="0" w:space="0" w:color="auto"/>
                  </w:divBdr>
                  <w:divsChild>
                    <w:div w:id="464667228">
                      <w:marLeft w:val="0"/>
                      <w:marRight w:val="0"/>
                      <w:marTop w:val="0"/>
                      <w:marBottom w:val="0"/>
                      <w:divBdr>
                        <w:top w:val="none" w:sz="0" w:space="0" w:color="auto"/>
                        <w:left w:val="none" w:sz="0" w:space="0" w:color="auto"/>
                        <w:bottom w:val="none" w:sz="0" w:space="0" w:color="auto"/>
                        <w:right w:val="none" w:sz="0" w:space="0" w:color="auto"/>
                      </w:divBdr>
                    </w:div>
                  </w:divsChild>
                </w:div>
                <w:div w:id="1303342369">
                  <w:marLeft w:val="0"/>
                  <w:marRight w:val="0"/>
                  <w:marTop w:val="0"/>
                  <w:marBottom w:val="0"/>
                  <w:divBdr>
                    <w:top w:val="none" w:sz="0" w:space="0" w:color="auto"/>
                    <w:left w:val="none" w:sz="0" w:space="0" w:color="auto"/>
                    <w:bottom w:val="none" w:sz="0" w:space="0" w:color="auto"/>
                    <w:right w:val="none" w:sz="0" w:space="0" w:color="auto"/>
                  </w:divBdr>
                  <w:divsChild>
                    <w:div w:id="1988775203">
                      <w:marLeft w:val="0"/>
                      <w:marRight w:val="0"/>
                      <w:marTop w:val="0"/>
                      <w:marBottom w:val="0"/>
                      <w:divBdr>
                        <w:top w:val="none" w:sz="0" w:space="0" w:color="auto"/>
                        <w:left w:val="none" w:sz="0" w:space="0" w:color="auto"/>
                        <w:bottom w:val="none" w:sz="0" w:space="0" w:color="auto"/>
                        <w:right w:val="none" w:sz="0" w:space="0" w:color="auto"/>
                      </w:divBdr>
                    </w:div>
                  </w:divsChild>
                </w:div>
                <w:div w:id="1768889043">
                  <w:marLeft w:val="0"/>
                  <w:marRight w:val="0"/>
                  <w:marTop w:val="0"/>
                  <w:marBottom w:val="0"/>
                  <w:divBdr>
                    <w:top w:val="none" w:sz="0" w:space="0" w:color="auto"/>
                    <w:left w:val="none" w:sz="0" w:space="0" w:color="auto"/>
                    <w:bottom w:val="none" w:sz="0" w:space="0" w:color="auto"/>
                    <w:right w:val="none" w:sz="0" w:space="0" w:color="auto"/>
                  </w:divBdr>
                  <w:divsChild>
                    <w:div w:id="615908438">
                      <w:marLeft w:val="0"/>
                      <w:marRight w:val="0"/>
                      <w:marTop w:val="0"/>
                      <w:marBottom w:val="0"/>
                      <w:divBdr>
                        <w:top w:val="none" w:sz="0" w:space="0" w:color="auto"/>
                        <w:left w:val="none" w:sz="0" w:space="0" w:color="auto"/>
                        <w:bottom w:val="none" w:sz="0" w:space="0" w:color="auto"/>
                        <w:right w:val="none" w:sz="0" w:space="0" w:color="auto"/>
                      </w:divBdr>
                    </w:div>
                  </w:divsChild>
                </w:div>
                <w:div w:id="2083944513">
                  <w:marLeft w:val="0"/>
                  <w:marRight w:val="0"/>
                  <w:marTop w:val="0"/>
                  <w:marBottom w:val="0"/>
                  <w:divBdr>
                    <w:top w:val="none" w:sz="0" w:space="0" w:color="auto"/>
                    <w:left w:val="none" w:sz="0" w:space="0" w:color="auto"/>
                    <w:bottom w:val="none" w:sz="0" w:space="0" w:color="auto"/>
                    <w:right w:val="none" w:sz="0" w:space="0" w:color="auto"/>
                  </w:divBdr>
                  <w:divsChild>
                    <w:div w:id="575867070">
                      <w:marLeft w:val="0"/>
                      <w:marRight w:val="0"/>
                      <w:marTop w:val="0"/>
                      <w:marBottom w:val="0"/>
                      <w:divBdr>
                        <w:top w:val="none" w:sz="0" w:space="0" w:color="auto"/>
                        <w:left w:val="none" w:sz="0" w:space="0" w:color="auto"/>
                        <w:bottom w:val="none" w:sz="0" w:space="0" w:color="auto"/>
                        <w:right w:val="none" w:sz="0" w:space="0" w:color="auto"/>
                      </w:divBdr>
                    </w:div>
                  </w:divsChild>
                </w:div>
                <w:div w:id="1634166601">
                  <w:marLeft w:val="0"/>
                  <w:marRight w:val="0"/>
                  <w:marTop w:val="0"/>
                  <w:marBottom w:val="0"/>
                  <w:divBdr>
                    <w:top w:val="none" w:sz="0" w:space="0" w:color="auto"/>
                    <w:left w:val="none" w:sz="0" w:space="0" w:color="auto"/>
                    <w:bottom w:val="none" w:sz="0" w:space="0" w:color="auto"/>
                    <w:right w:val="none" w:sz="0" w:space="0" w:color="auto"/>
                  </w:divBdr>
                  <w:divsChild>
                    <w:div w:id="2042779029">
                      <w:marLeft w:val="0"/>
                      <w:marRight w:val="0"/>
                      <w:marTop w:val="0"/>
                      <w:marBottom w:val="0"/>
                      <w:divBdr>
                        <w:top w:val="none" w:sz="0" w:space="0" w:color="auto"/>
                        <w:left w:val="none" w:sz="0" w:space="0" w:color="auto"/>
                        <w:bottom w:val="none" w:sz="0" w:space="0" w:color="auto"/>
                        <w:right w:val="none" w:sz="0" w:space="0" w:color="auto"/>
                      </w:divBdr>
                    </w:div>
                  </w:divsChild>
                </w:div>
                <w:div w:id="875847763">
                  <w:marLeft w:val="0"/>
                  <w:marRight w:val="0"/>
                  <w:marTop w:val="0"/>
                  <w:marBottom w:val="0"/>
                  <w:divBdr>
                    <w:top w:val="none" w:sz="0" w:space="0" w:color="auto"/>
                    <w:left w:val="none" w:sz="0" w:space="0" w:color="auto"/>
                    <w:bottom w:val="none" w:sz="0" w:space="0" w:color="auto"/>
                    <w:right w:val="none" w:sz="0" w:space="0" w:color="auto"/>
                  </w:divBdr>
                  <w:divsChild>
                    <w:div w:id="175192573">
                      <w:marLeft w:val="0"/>
                      <w:marRight w:val="0"/>
                      <w:marTop w:val="0"/>
                      <w:marBottom w:val="0"/>
                      <w:divBdr>
                        <w:top w:val="none" w:sz="0" w:space="0" w:color="auto"/>
                        <w:left w:val="none" w:sz="0" w:space="0" w:color="auto"/>
                        <w:bottom w:val="none" w:sz="0" w:space="0" w:color="auto"/>
                        <w:right w:val="none" w:sz="0" w:space="0" w:color="auto"/>
                      </w:divBdr>
                    </w:div>
                  </w:divsChild>
                </w:div>
                <w:div w:id="1588034769">
                  <w:marLeft w:val="0"/>
                  <w:marRight w:val="0"/>
                  <w:marTop w:val="0"/>
                  <w:marBottom w:val="0"/>
                  <w:divBdr>
                    <w:top w:val="none" w:sz="0" w:space="0" w:color="auto"/>
                    <w:left w:val="none" w:sz="0" w:space="0" w:color="auto"/>
                    <w:bottom w:val="none" w:sz="0" w:space="0" w:color="auto"/>
                    <w:right w:val="none" w:sz="0" w:space="0" w:color="auto"/>
                  </w:divBdr>
                  <w:divsChild>
                    <w:div w:id="2102869095">
                      <w:marLeft w:val="0"/>
                      <w:marRight w:val="0"/>
                      <w:marTop w:val="0"/>
                      <w:marBottom w:val="0"/>
                      <w:divBdr>
                        <w:top w:val="none" w:sz="0" w:space="0" w:color="auto"/>
                        <w:left w:val="none" w:sz="0" w:space="0" w:color="auto"/>
                        <w:bottom w:val="none" w:sz="0" w:space="0" w:color="auto"/>
                        <w:right w:val="none" w:sz="0" w:space="0" w:color="auto"/>
                      </w:divBdr>
                    </w:div>
                  </w:divsChild>
                </w:div>
                <w:div w:id="936399537">
                  <w:marLeft w:val="0"/>
                  <w:marRight w:val="0"/>
                  <w:marTop w:val="0"/>
                  <w:marBottom w:val="0"/>
                  <w:divBdr>
                    <w:top w:val="none" w:sz="0" w:space="0" w:color="auto"/>
                    <w:left w:val="none" w:sz="0" w:space="0" w:color="auto"/>
                    <w:bottom w:val="none" w:sz="0" w:space="0" w:color="auto"/>
                    <w:right w:val="none" w:sz="0" w:space="0" w:color="auto"/>
                  </w:divBdr>
                  <w:divsChild>
                    <w:div w:id="51926877">
                      <w:marLeft w:val="0"/>
                      <w:marRight w:val="0"/>
                      <w:marTop w:val="0"/>
                      <w:marBottom w:val="0"/>
                      <w:divBdr>
                        <w:top w:val="none" w:sz="0" w:space="0" w:color="auto"/>
                        <w:left w:val="none" w:sz="0" w:space="0" w:color="auto"/>
                        <w:bottom w:val="none" w:sz="0" w:space="0" w:color="auto"/>
                        <w:right w:val="none" w:sz="0" w:space="0" w:color="auto"/>
                      </w:divBdr>
                    </w:div>
                  </w:divsChild>
                </w:div>
                <w:div w:id="1315600314">
                  <w:marLeft w:val="0"/>
                  <w:marRight w:val="0"/>
                  <w:marTop w:val="0"/>
                  <w:marBottom w:val="0"/>
                  <w:divBdr>
                    <w:top w:val="none" w:sz="0" w:space="0" w:color="auto"/>
                    <w:left w:val="none" w:sz="0" w:space="0" w:color="auto"/>
                    <w:bottom w:val="none" w:sz="0" w:space="0" w:color="auto"/>
                    <w:right w:val="none" w:sz="0" w:space="0" w:color="auto"/>
                  </w:divBdr>
                  <w:divsChild>
                    <w:div w:id="1658729945">
                      <w:marLeft w:val="0"/>
                      <w:marRight w:val="0"/>
                      <w:marTop w:val="0"/>
                      <w:marBottom w:val="0"/>
                      <w:divBdr>
                        <w:top w:val="none" w:sz="0" w:space="0" w:color="auto"/>
                        <w:left w:val="none" w:sz="0" w:space="0" w:color="auto"/>
                        <w:bottom w:val="none" w:sz="0" w:space="0" w:color="auto"/>
                        <w:right w:val="none" w:sz="0" w:space="0" w:color="auto"/>
                      </w:divBdr>
                    </w:div>
                  </w:divsChild>
                </w:div>
                <w:div w:id="1646279697">
                  <w:marLeft w:val="0"/>
                  <w:marRight w:val="0"/>
                  <w:marTop w:val="0"/>
                  <w:marBottom w:val="0"/>
                  <w:divBdr>
                    <w:top w:val="none" w:sz="0" w:space="0" w:color="auto"/>
                    <w:left w:val="none" w:sz="0" w:space="0" w:color="auto"/>
                    <w:bottom w:val="none" w:sz="0" w:space="0" w:color="auto"/>
                    <w:right w:val="none" w:sz="0" w:space="0" w:color="auto"/>
                  </w:divBdr>
                  <w:divsChild>
                    <w:div w:id="894121607">
                      <w:marLeft w:val="0"/>
                      <w:marRight w:val="0"/>
                      <w:marTop w:val="0"/>
                      <w:marBottom w:val="0"/>
                      <w:divBdr>
                        <w:top w:val="none" w:sz="0" w:space="0" w:color="auto"/>
                        <w:left w:val="none" w:sz="0" w:space="0" w:color="auto"/>
                        <w:bottom w:val="none" w:sz="0" w:space="0" w:color="auto"/>
                        <w:right w:val="none" w:sz="0" w:space="0" w:color="auto"/>
                      </w:divBdr>
                    </w:div>
                  </w:divsChild>
                </w:div>
                <w:div w:id="1909073414">
                  <w:marLeft w:val="0"/>
                  <w:marRight w:val="0"/>
                  <w:marTop w:val="0"/>
                  <w:marBottom w:val="0"/>
                  <w:divBdr>
                    <w:top w:val="none" w:sz="0" w:space="0" w:color="auto"/>
                    <w:left w:val="none" w:sz="0" w:space="0" w:color="auto"/>
                    <w:bottom w:val="none" w:sz="0" w:space="0" w:color="auto"/>
                    <w:right w:val="none" w:sz="0" w:space="0" w:color="auto"/>
                  </w:divBdr>
                  <w:divsChild>
                    <w:div w:id="1865093147">
                      <w:marLeft w:val="0"/>
                      <w:marRight w:val="0"/>
                      <w:marTop w:val="0"/>
                      <w:marBottom w:val="0"/>
                      <w:divBdr>
                        <w:top w:val="none" w:sz="0" w:space="0" w:color="auto"/>
                        <w:left w:val="none" w:sz="0" w:space="0" w:color="auto"/>
                        <w:bottom w:val="none" w:sz="0" w:space="0" w:color="auto"/>
                        <w:right w:val="none" w:sz="0" w:space="0" w:color="auto"/>
                      </w:divBdr>
                    </w:div>
                  </w:divsChild>
                </w:div>
                <w:div w:id="1149981083">
                  <w:marLeft w:val="0"/>
                  <w:marRight w:val="0"/>
                  <w:marTop w:val="0"/>
                  <w:marBottom w:val="0"/>
                  <w:divBdr>
                    <w:top w:val="none" w:sz="0" w:space="0" w:color="auto"/>
                    <w:left w:val="none" w:sz="0" w:space="0" w:color="auto"/>
                    <w:bottom w:val="none" w:sz="0" w:space="0" w:color="auto"/>
                    <w:right w:val="none" w:sz="0" w:space="0" w:color="auto"/>
                  </w:divBdr>
                  <w:divsChild>
                    <w:div w:id="1431391813">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sChild>
                    <w:div w:id="1162430594">
                      <w:marLeft w:val="0"/>
                      <w:marRight w:val="0"/>
                      <w:marTop w:val="0"/>
                      <w:marBottom w:val="0"/>
                      <w:divBdr>
                        <w:top w:val="none" w:sz="0" w:space="0" w:color="auto"/>
                        <w:left w:val="none" w:sz="0" w:space="0" w:color="auto"/>
                        <w:bottom w:val="none" w:sz="0" w:space="0" w:color="auto"/>
                        <w:right w:val="none" w:sz="0" w:space="0" w:color="auto"/>
                      </w:divBdr>
                    </w:div>
                  </w:divsChild>
                </w:div>
                <w:div w:id="1923490976">
                  <w:marLeft w:val="0"/>
                  <w:marRight w:val="0"/>
                  <w:marTop w:val="0"/>
                  <w:marBottom w:val="0"/>
                  <w:divBdr>
                    <w:top w:val="none" w:sz="0" w:space="0" w:color="auto"/>
                    <w:left w:val="none" w:sz="0" w:space="0" w:color="auto"/>
                    <w:bottom w:val="none" w:sz="0" w:space="0" w:color="auto"/>
                    <w:right w:val="none" w:sz="0" w:space="0" w:color="auto"/>
                  </w:divBdr>
                  <w:divsChild>
                    <w:div w:id="1753964944">
                      <w:marLeft w:val="0"/>
                      <w:marRight w:val="0"/>
                      <w:marTop w:val="0"/>
                      <w:marBottom w:val="0"/>
                      <w:divBdr>
                        <w:top w:val="none" w:sz="0" w:space="0" w:color="auto"/>
                        <w:left w:val="none" w:sz="0" w:space="0" w:color="auto"/>
                        <w:bottom w:val="none" w:sz="0" w:space="0" w:color="auto"/>
                        <w:right w:val="none" w:sz="0" w:space="0" w:color="auto"/>
                      </w:divBdr>
                    </w:div>
                  </w:divsChild>
                </w:div>
                <w:div w:id="1186821995">
                  <w:marLeft w:val="0"/>
                  <w:marRight w:val="0"/>
                  <w:marTop w:val="0"/>
                  <w:marBottom w:val="0"/>
                  <w:divBdr>
                    <w:top w:val="none" w:sz="0" w:space="0" w:color="auto"/>
                    <w:left w:val="none" w:sz="0" w:space="0" w:color="auto"/>
                    <w:bottom w:val="none" w:sz="0" w:space="0" w:color="auto"/>
                    <w:right w:val="none" w:sz="0" w:space="0" w:color="auto"/>
                  </w:divBdr>
                  <w:divsChild>
                    <w:div w:id="619918695">
                      <w:marLeft w:val="0"/>
                      <w:marRight w:val="0"/>
                      <w:marTop w:val="0"/>
                      <w:marBottom w:val="0"/>
                      <w:divBdr>
                        <w:top w:val="none" w:sz="0" w:space="0" w:color="auto"/>
                        <w:left w:val="none" w:sz="0" w:space="0" w:color="auto"/>
                        <w:bottom w:val="none" w:sz="0" w:space="0" w:color="auto"/>
                        <w:right w:val="none" w:sz="0" w:space="0" w:color="auto"/>
                      </w:divBdr>
                    </w:div>
                  </w:divsChild>
                </w:div>
                <w:div w:id="776565123">
                  <w:marLeft w:val="0"/>
                  <w:marRight w:val="0"/>
                  <w:marTop w:val="0"/>
                  <w:marBottom w:val="0"/>
                  <w:divBdr>
                    <w:top w:val="none" w:sz="0" w:space="0" w:color="auto"/>
                    <w:left w:val="none" w:sz="0" w:space="0" w:color="auto"/>
                    <w:bottom w:val="none" w:sz="0" w:space="0" w:color="auto"/>
                    <w:right w:val="none" w:sz="0" w:space="0" w:color="auto"/>
                  </w:divBdr>
                  <w:divsChild>
                    <w:div w:id="1783375536">
                      <w:marLeft w:val="0"/>
                      <w:marRight w:val="0"/>
                      <w:marTop w:val="0"/>
                      <w:marBottom w:val="0"/>
                      <w:divBdr>
                        <w:top w:val="none" w:sz="0" w:space="0" w:color="auto"/>
                        <w:left w:val="none" w:sz="0" w:space="0" w:color="auto"/>
                        <w:bottom w:val="none" w:sz="0" w:space="0" w:color="auto"/>
                        <w:right w:val="none" w:sz="0" w:space="0" w:color="auto"/>
                      </w:divBdr>
                    </w:div>
                  </w:divsChild>
                </w:div>
                <w:div w:id="178351320">
                  <w:marLeft w:val="0"/>
                  <w:marRight w:val="0"/>
                  <w:marTop w:val="0"/>
                  <w:marBottom w:val="0"/>
                  <w:divBdr>
                    <w:top w:val="none" w:sz="0" w:space="0" w:color="auto"/>
                    <w:left w:val="none" w:sz="0" w:space="0" w:color="auto"/>
                    <w:bottom w:val="none" w:sz="0" w:space="0" w:color="auto"/>
                    <w:right w:val="none" w:sz="0" w:space="0" w:color="auto"/>
                  </w:divBdr>
                  <w:divsChild>
                    <w:div w:id="1225723748">
                      <w:marLeft w:val="0"/>
                      <w:marRight w:val="0"/>
                      <w:marTop w:val="0"/>
                      <w:marBottom w:val="0"/>
                      <w:divBdr>
                        <w:top w:val="none" w:sz="0" w:space="0" w:color="auto"/>
                        <w:left w:val="none" w:sz="0" w:space="0" w:color="auto"/>
                        <w:bottom w:val="none" w:sz="0" w:space="0" w:color="auto"/>
                        <w:right w:val="none" w:sz="0" w:space="0" w:color="auto"/>
                      </w:divBdr>
                    </w:div>
                  </w:divsChild>
                </w:div>
                <w:div w:id="1753700017">
                  <w:marLeft w:val="0"/>
                  <w:marRight w:val="0"/>
                  <w:marTop w:val="0"/>
                  <w:marBottom w:val="0"/>
                  <w:divBdr>
                    <w:top w:val="none" w:sz="0" w:space="0" w:color="auto"/>
                    <w:left w:val="none" w:sz="0" w:space="0" w:color="auto"/>
                    <w:bottom w:val="none" w:sz="0" w:space="0" w:color="auto"/>
                    <w:right w:val="none" w:sz="0" w:space="0" w:color="auto"/>
                  </w:divBdr>
                  <w:divsChild>
                    <w:div w:id="1274676911">
                      <w:marLeft w:val="0"/>
                      <w:marRight w:val="0"/>
                      <w:marTop w:val="0"/>
                      <w:marBottom w:val="0"/>
                      <w:divBdr>
                        <w:top w:val="none" w:sz="0" w:space="0" w:color="auto"/>
                        <w:left w:val="none" w:sz="0" w:space="0" w:color="auto"/>
                        <w:bottom w:val="none" w:sz="0" w:space="0" w:color="auto"/>
                        <w:right w:val="none" w:sz="0" w:space="0" w:color="auto"/>
                      </w:divBdr>
                    </w:div>
                  </w:divsChild>
                </w:div>
                <w:div w:id="898516767">
                  <w:marLeft w:val="0"/>
                  <w:marRight w:val="0"/>
                  <w:marTop w:val="0"/>
                  <w:marBottom w:val="0"/>
                  <w:divBdr>
                    <w:top w:val="none" w:sz="0" w:space="0" w:color="auto"/>
                    <w:left w:val="none" w:sz="0" w:space="0" w:color="auto"/>
                    <w:bottom w:val="none" w:sz="0" w:space="0" w:color="auto"/>
                    <w:right w:val="none" w:sz="0" w:space="0" w:color="auto"/>
                  </w:divBdr>
                  <w:divsChild>
                    <w:div w:id="1642270332">
                      <w:marLeft w:val="0"/>
                      <w:marRight w:val="0"/>
                      <w:marTop w:val="0"/>
                      <w:marBottom w:val="0"/>
                      <w:divBdr>
                        <w:top w:val="none" w:sz="0" w:space="0" w:color="auto"/>
                        <w:left w:val="none" w:sz="0" w:space="0" w:color="auto"/>
                        <w:bottom w:val="none" w:sz="0" w:space="0" w:color="auto"/>
                        <w:right w:val="none" w:sz="0" w:space="0" w:color="auto"/>
                      </w:divBdr>
                    </w:div>
                  </w:divsChild>
                </w:div>
                <w:div w:id="873033395">
                  <w:marLeft w:val="0"/>
                  <w:marRight w:val="0"/>
                  <w:marTop w:val="0"/>
                  <w:marBottom w:val="0"/>
                  <w:divBdr>
                    <w:top w:val="none" w:sz="0" w:space="0" w:color="auto"/>
                    <w:left w:val="none" w:sz="0" w:space="0" w:color="auto"/>
                    <w:bottom w:val="none" w:sz="0" w:space="0" w:color="auto"/>
                    <w:right w:val="none" w:sz="0" w:space="0" w:color="auto"/>
                  </w:divBdr>
                  <w:divsChild>
                    <w:div w:id="17047619">
                      <w:marLeft w:val="0"/>
                      <w:marRight w:val="0"/>
                      <w:marTop w:val="0"/>
                      <w:marBottom w:val="0"/>
                      <w:divBdr>
                        <w:top w:val="none" w:sz="0" w:space="0" w:color="auto"/>
                        <w:left w:val="none" w:sz="0" w:space="0" w:color="auto"/>
                        <w:bottom w:val="none" w:sz="0" w:space="0" w:color="auto"/>
                        <w:right w:val="none" w:sz="0" w:space="0" w:color="auto"/>
                      </w:divBdr>
                    </w:div>
                  </w:divsChild>
                </w:div>
                <w:div w:id="1154184505">
                  <w:marLeft w:val="0"/>
                  <w:marRight w:val="0"/>
                  <w:marTop w:val="0"/>
                  <w:marBottom w:val="0"/>
                  <w:divBdr>
                    <w:top w:val="none" w:sz="0" w:space="0" w:color="auto"/>
                    <w:left w:val="none" w:sz="0" w:space="0" w:color="auto"/>
                    <w:bottom w:val="none" w:sz="0" w:space="0" w:color="auto"/>
                    <w:right w:val="none" w:sz="0" w:space="0" w:color="auto"/>
                  </w:divBdr>
                  <w:divsChild>
                    <w:div w:id="1597329218">
                      <w:marLeft w:val="0"/>
                      <w:marRight w:val="0"/>
                      <w:marTop w:val="0"/>
                      <w:marBottom w:val="0"/>
                      <w:divBdr>
                        <w:top w:val="none" w:sz="0" w:space="0" w:color="auto"/>
                        <w:left w:val="none" w:sz="0" w:space="0" w:color="auto"/>
                        <w:bottom w:val="none" w:sz="0" w:space="0" w:color="auto"/>
                        <w:right w:val="none" w:sz="0" w:space="0" w:color="auto"/>
                      </w:divBdr>
                    </w:div>
                  </w:divsChild>
                </w:div>
                <w:div w:id="613363042">
                  <w:marLeft w:val="0"/>
                  <w:marRight w:val="0"/>
                  <w:marTop w:val="0"/>
                  <w:marBottom w:val="0"/>
                  <w:divBdr>
                    <w:top w:val="none" w:sz="0" w:space="0" w:color="auto"/>
                    <w:left w:val="none" w:sz="0" w:space="0" w:color="auto"/>
                    <w:bottom w:val="none" w:sz="0" w:space="0" w:color="auto"/>
                    <w:right w:val="none" w:sz="0" w:space="0" w:color="auto"/>
                  </w:divBdr>
                  <w:divsChild>
                    <w:div w:id="1086345226">
                      <w:marLeft w:val="0"/>
                      <w:marRight w:val="0"/>
                      <w:marTop w:val="0"/>
                      <w:marBottom w:val="0"/>
                      <w:divBdr>
                        <w:top w:val="none" w:sz="0" w:space="0" w:color="auto"/>
                        <w:left w:val="none" w:sz="0" w:space="0" w:color="auto"/>
                        <w:bottom w:val="none" w:sz="0" w:space="0" w:color="auto"/>
                        <w:right w:val="none" w:sz="0" w:space="0" w:color="auto"/>
                      </w:divBdr>
                    </w:div>
                  </w:divsChild>
                </w:div>
                <w:div w:id="371393611">
                  <w:marLeft w:val="0"/>
                  <w:marRight w:val="0"/>
                  <w:marTop w:val="0"/>
                  <w:marBottom w:val="0"/>
                  <w:divBdr>
                    <w:top w:val="none" w:sz="0" w:space="0" w:color="auto"/>
                    <w:left w:val="none" w:sz="0" w:space="0" w:color="auto"/>
                    <w:bottom w:val="none" w:sz="0" w:space="0" w:color="auto"/>
                    <w:right w:val="none" w:sz="0" w:space="0" w:color="auto"/>
                  </w:divBdr>
                  <w:divsChild>
                    <w:div w:id="508953120">
                      <w:marLeft w:val="0"/>
                      <w:marRight w:val="0"/>
                      <w:marTop w:val="0"/>
                      <w:marBottom w:val="0"/>
                      <w:divBdr>
                        <w:top w:val="none" w:sz="0" w:space="0" w:color="auto"/>
                        <w:left w:val="none" w:sz="0" w:space="0" w:color="auto"/>
                        <w:bottom w:val="none" w:sz="0" w:space="0" w:color="auto"/>
                        <w:right w:val="none" w:sz="0" w:space="0" w:color="auto"/>
                      </w:divBdr>
                    </w:div>
                  </w:divsChild>
                </w:div>
                <w:div w:id="2083520958">
                  <w:marLeft w:val="0"/>
                  <w:marRight w:val="0"/>
                  <w:marTop w:val="0"/>
                  <w:marBottom w:val="0"/>
                  <w:divBdr>
                    <w:top w:val="none" w:sz="0" w:space="0" w:color="auto"/>
                    <w:left w:val="none" w:sz="0" w:space="0" w:color="auto"/>
                    <w:bottom w:val="none" w:sz="0" w:space="0" w:color="auto"/>
                    <w:right w:val="none" w:sz="0" w:space="0" w:color="auto"/>
                  </w:divBdr>
                  <w:divsChild>
                    <w:div w:id="938877761">
                      <w:marLeft w:val="0"/>
                      <w:marRight w:val="0"/>
                      <w:marTop w:val="0"/>
                      <w:marBottom w:val="0"/>
                      <w:divBdr>
                        <w:top w:val="none" w:sz="0" w:space="0" w:color="auto"/>
                        <w:left w:val="none" w:sz="0" w:space="0" w:color="auto"/>
                        <w:bottom w:val="none" w:sz="0" w:space="0" w:color="auto"/>
                        <w:right w:val="none" w:sz="0" w:space="0" w:color="auto"/>
                      </w:divBdr>
                    </w:div>
                  </w:divsChild>
                </w:div>
                <w:div w:id="609816973">
                  <w:marLeft w:val="0"/>
                  <w:marRight w:val="0"/>
                  <w:marTop w:val="0"/>
                  <w:marBottom w:val="0"/>
                  <w:divBdr>
                    <w:top w:val="none" w:sz="0" w:space="0" w:color="auto"/>
                    <w:left w:val="none" w:sz="0" w:space="0" w:color="auto"/>
                    <w:bottom w:val="none" w:sz="0" w:space="0" w:color="auto"/>
                    <w:right w:val="none" w:sz="0" w:space="0" w:color="auto"/>
                  </w:divBdr>
                  <w:divsChild>
                    <w:div w:id="1780835443">
                      <w:marLeft w:val="0"/>
                      <w:marRight w:val="0"/>
                      <w:marTop w:val="0"/>
                      <w:marBottom w:val="0"/>
                      <w:divBdr>
                        <w:top w:val="none" w:sz="0" w:space="0" w:color="auto"/>
                        <w:left w:val="none" w:sz="0" w:space="0" w:color="auto"/>
                        <w:bottom w:val="none" w:sz="0" w:space="0" w:color="auto"/>
                        <w:right w:val="none" w:sz="0" w:space="0" w:color="auto"/>
                      </w:divBdr>
                    </w:div>
                  </w:divsChild>
                </w:div>
                <w:div w:id="1520462012">
                  <w:marLeft w:val="0"/>
                  <w:marRight w:val="0"/>
                  <w:marTop w:val="0"/>
                  <w:marBottom w:val="0"/>
                  <w:divBdr>
                    <w:top w:val="none" w:sz="0" w:space="0" w:color="auto"/>
                    <w:left w:val="none" w:sz="0" w:space="0" w:color="auto"/>
                    <w:bottom w:val="none" w:sz="0" w:space="0" w:color="auto"/>
                    <w:right w:val="none" w:sz="0" w:space="0" w:color="auto"/>
                  </w:divBdr>
                  <w:divsChild>
                    <w:div w:id="1680346846">
                      <w:marLeft w:val="0"/>
                      <w:marRight w:val="0"/>
                      <w:marTop w:val="0"/>
                      <w:marBottom w:val="0"/>
                      <w:divBdr>
                        <w:top w:val="none" w:sz="0" w:space="0" w:color="auto"/>
                        <w:left w:val="none" w:sz="0" w:space="0" w:color="auto"/>
                        <w:bottom w:val="none" w:sz="0" w:space="0" w:color="auto"/>
                        <w:right w:val="none" w:sz="0" w:space="0" w:color="auto"/>
                      </w:divBdr>
                    </w:div>
                  </w:divsChild>
                </w:div>
                <w:div w:id="1025208990">
                  <w:marLeft w:val="0"/>
                  <w:marRight w:val="0"/>
                  <w:marTop w:val="0"/>
                  <w:marBottom w:val="0"/>
                  <w:divBdr>
                    <w:top w:val="none" w:sz="0" w:space="0" w:color="auto"/>
                    <w:left w:val="none" w:sz="0" w:space="0" w:color="auto"/>
                    <w:bottom w:val="none" w:sz="0" w:space="0" w:color="auto"/>
                    <w:right w:val="none" w:sz="0" w:space="0" w:color="auto"/>
                  </w:divBdr>
                  <w:divsChild>
                    <w:div w:id="161941266">
                      <w:marLeft w:val="0"/>
                      <w:marRight w:val="0"/>
                      <w:marTop w:val="0"/>
                      <w:marBottom w:val="0"/>
                      <w:divBdr>
                        <w:top w:val="none" w:sz="0" w:space="0" w:color="auto"/>
                        <w:left w:val="none" w:sz="0" w:space="0" w:color="auto"/>
                        <w:bottom w:val="none" w:sz="0" w:space="0" w:color="auto"/>
                        <w:right w:val="none" w:sz="0" w:space="0" w:color="auto"/>
                      </w:divBdr>
                    </w:div>
                  </w:divsChild>
                </w:div>
                <w:div w:id="2133938197">
                  <w:marLeft w:val="0"/>
                  <w:marRight w:val="0"/>
                  <w:marTop w:val="0"/>
                  <w:marBottom w:val="0"/>
                  <w:divBdr>
                    <w:top w:val="none" w:sz="0" w:space="0" w:color="auto"/>
                    <w:left w:val="none" w:sz="0" w:space="0" w:color="auto"/>
                    <w:bottom w:val="none" w:sz="0" w:space="0" w:color="auto"/>
                    <w:right w:val="none" w:sz="0" w:space="0" w:color="auto"/>
                  </w:divBdr>
                  <w:divsChild>
                    <w:div w:id="1185559696">
                      <w:marLeft w:val="0"/>
                      <w:marRight w:val="0"/>
                      <w:marTop w:val="0"/>
                      <w:marBottom w:val="0"/>
                      <w:divBdr>
                        <w:top w:val="none" w:sz="0" w:space="0" w:color="auto"/>
                        <w:left w:val="none" w:sz="0" w:space="0" w:color="auto"/>
                        <w:bottom w:val="none" w:sz="0" w:space="0" w:color="auto"/>
                        <w:right w:val="none" w:sz="0" w:space="0" w:color="auto"/>
                      </w:divBdr>
                    </w:div>
                  </w:divsChild>
                </w:div>
                <w:div w:id="290062712">
                  <w:marLeft w:val="0"/>
                  <w:marRight w:val="0"/>
                  <w:marTop w:val="0"/>
                  <w:marBottom w:val="0"/>
                  <w:divBdr>
                    <w:top w:val="none" w:sz="0" w:space="0" w:color="auto"/>
                    <w:left w:val="none" w:sz="0" w:space="0" w:color="auto"/>
                    <w:bottom w:val="none" w:sz="0" w:space="0" w:color="auto"/>
                    <w:right w:val="none" w:sz="0" w:space="0" w:color="auto"/>
                  </w:divBdr>
                  <w:divsChild>
                    <w:div w:id="1133399656">
                      <w:marLeft w:val="0"/>
                      <w:marRight w:val="0"/>
                      <w:marTop w:val="0"/>
                      <w:marBottom w:val="0"/>
                      <w:divBdr>
                        <w:top w:val="none" w:sz="0" w:space="0" w:color="auto"/>
                        <w:left w:val="none" w:sz="0" w:space="0" w:color="auto"/>
                        <w:bottom w:val="none" w:sz="0" w:space="0" w:color="auto"/>
                        <w:right w:val="none" w:sz="0" w:space="0" w:color="auto"/>
                      </w:divBdr>
                    </w:div>
                  </w:divsChild>
                </w:div>
                <w:div w:id="183134054">
                  <w:marLeft w:val="0"/>
                  <w:marRight w:val="0"/>
                  <w:marTop w:val="0"/>
                  <w:marBottom w:val="0"/>
                  <w:divBdr>
                    <w:top w:val="none" w:sz="0" w:space="0" w:color="auto"/>
                    <w:left w:val="none" w:sz="0" w:space="0" w:color="auto"/>
                    <w:bottom w:val="none" w:sz="0" w:space="0" w:color="auto"/>
                    <w:right w:val="none" w:sz="0" w:space="0" w:color="auto"/>
                  </w:divBdr>
                  <w:divsChild>
                    <w:div w:id="1663197761">
                      <w:marLeft w:val="0"/>
                      <w:marRight w:val="0"/>
                      <w:marTop w:val="0"/>
                      <w:marBottom w:val="0"/>
                      <w:divBdr>
                        <w:top w:val="none" w:sz="0" w:space="0" w:color="auto"/>
                        <w:left w:val="none" w:sz="0" w:space="0" w:color="auto"/>
                        <w:bottom w:val="none" w:sz="0" w:space="0" w:color="auto"/>
                        <w:right w:val="none" w:sz="0" w:space="0" w:color="auto"/>
                      </w:divBdr>
                    </w:div>
                  </w:divsChild>
                </w:div>
                <w:div w:id="2044397410">
                  <w:marLeft w:val="0"/>
                  <w:marRight w:val="0"/>
                  <w:marTop w:val="0"/>
                  <w:marBottom w:val="0"/>
                  <w:divBdr>
                    <w:top w:val="none" w:sz="0" w:space="0" w:color="auto"/>
                    <w:left w:val="none" w:sz="0" w:space="0" w:color="auto"/>
                    <w:bottom w:val="none" w:sz="0" w:space="0" w:color="auto"/>
                    <w:right w:val="none" w:sz="0" w:space="0" w:color="auto"/>
                  </w:divBdr>
                  <w:divsChild>
                    <w:div w:id="1242789102">
                      <w:marLeft w:val="0"/>
                      <w:marRight w:val="0"/>
                      <w:marTop w:val="0"/>
                      <w:marBottom w:val="0"/>
                      <w:divBdr>
                        <w:top w:val="none" w:sz="0" w:space="0" w:color="auto"/>
                        <w:left w:val="none" w:sz="0" w:space="0" w:color="auto"/>
                        <w:bottom w:val="none" w:sz="0" w:space="0" w:color="auto"/>
                        <w:right w:val="none" w:sz="0" w:space="0" w:color="auto"/>
                      </w:divBdr>
                    </w:div>
                  </w:divsChild>
                </w:div>
                <w:div w:id="1496803678">
                  <w:marLeft w:val="0"/>
                  <w:marRight w:val="0"/>
                  <w:marTop w:val="0"/>
                  <w:marBottom w:val="0"/>
                  <w:divBdr>
                    <w:top w:val="none" w:sz="0" w:space="0" w:color="auto"/>
                    <w:left w:val="none" w:sz="0" w:space="0" w:color="auto"/>
                    <w:bottom w:val="none" w:sz="0" w:space="0" w:color="auto"/>
                    <w:right w:val="none" w:sz="0" w:space="0" w:color="auto"/>
                  </w:divBdr>
                  <w:divsChild>
                    <w:div w:id="937636012">
                      <w:marLeft w:val="0"/>
                      <w:marRight w:val="0"/>
                      <w:marTop w:val="0"/>
                      <w:marBottom w:val="0"/>
                      <w:divBdr>
                        <w:top w:val="none" w:sz="0" w:space="0" w:color="auto"/>
                        <w:left w:val="none" w:sz="0" w:space="0" w:color="auto"/>
                        <w:bottom w:val="none" w:sz="0" w:space="0" w:color="auto"/>
                        <w:right w:val="none" w:sz="0" w:space="0" w:color="auto"/>
                      </w:divBdr>
                    </w:div>
                  </w:divsChild>
                </w:div>
                <w:div w:id="1490756391">
                  <w:marLeft w:val="0"/>
                  <w:marRight w:val="0"/>
                  <w:marTop w:val="0"/>
                  <w:marBottom w:val="0"/>
                  <w:divBdr>
                    <w:top w:val="none" w:sz="0" w:space="0" w:color="auto"/>
                    <w:left w:val="none" w:sz="0" w:space="0" w:color="auto"/>
                    <w:bottom w:val="none" w:sz="0" w:space="0" w:color="auto"/>
                    <w:right w:val="none" w:sz="0" w:space="0" w:color="auto"/>
                  </w:divBdr>
                  <w:divsChild>
                    <w:div w:id="1373111752">
                      <w:marLeft w:val="0"/>
                      <w:marRight w:val="0"/>
                      <w:marTop w:val="0"/>
                      <w:marBottom w:val="0"/>
                      <w:divBdr>
                        <w:top w:val="none" w:sz="0" w:space="0" w:color="auto"/>
                        <w:left w:val="none" w:sz="0" w:space="0" w:color="auto"/>
                        <w:bottom w:val="none" w:sz="0" w:space="0" w:color="auto"/>
                        <w:right w:val="none" w:sz="0" w:space="0" w:color="auto"/>
                      </w:divBdr>
                    </w:div>
                  </w:divsChild>
                </w:div>
                <w:div w:id="1742485579">
                  <w:marLeft w:val="0"/>
                  <w:marRight w:val="0"/>
                  <w:marTop w:val="0"/>
                  <w:marBottom w:val="0"/>
                  <w:divBdr>
                    <w:top w:val="none" w:sz="0" w:space="0" w:color="auto"/>
                    <w:left w:val="none" w:sz="0" w:space="0" w:color="auto"/>
                    <w:bottom w:val="none" w:sz="0" w:space="0" w:color="auto"/>
                    <w:right w:val="none" w:sz="0" w:space="0" w:color="auto"/>
                  </w:divBdr>
                  <w:divsChild>
                    <w:div w:id="849100940">
                      <w:marLeft w:val="0"/>
                      <w:marRight w:val="0"/>
                      <w:marTop w:val="0"/>
                      <w:marBottom w:val="0"/>
                      <w:divBdr>
                        <w:top w:val="none" w:sz="0" w:space="0" w:color="auto"/>
                        <w:left w:val="none" w:sz="0" w:space="0" w:color="auto"/>
                        <w:bottom w:val="none" w:sz="0" w:space="0" w:color="auto"/>
                        <w:right w:val="none" w:sz="0" w:space="0" w:color="auto"/>
                      </w:divBdr>
                    </w:div>
                  </w:divsChild>
                </w:div>
                <w:div w:id="503516211">
                  <w:marLeft w:val="0"/>
                  <w:marRight w:val="0"/>
                  <w:marTop w:val="0"/>
                  <w:marBottom w:val="0"/>
                  <w:divBdr>
                    <w:top w:val="none" w:sz="0" w:space="0" w:color="auto"/>
                    <w:left w:val="none" w:sz="0" w:space="0" w:color="auto"/>
                    <w:bottom w:val="none" w:sz="0" w:space="0" w:color="auto"/>
                    <w:right w:val="none" w:sz="0" w:space="0" w:color="auto"/>
                  </w:divBdr>
                  <w:divsChild>
                    <w:div w:id="997225564">
                      <w:marLeft w:val="0"/>
                      <w:marRight w:val="0"/>
                      <w:marTop w:val="0"/>
                      <w:marBottom w:val="0"/>
                      <w:divBdr>
                        <w:top w:val="none" w:sz="0" w:space="0" w:color="auto"/>
                        <w:left w:val="none" w:sz="0" w:space="0" w:color="auto"/>
                        <w:bottom w:val="none" w:sz="0" w:space="0" w:color="auto"/>
                        <w:right w:val="none" w:sz="0" w:space="0" w:color="auto"/>
                      </w:divBdr>
                    </w:div>
                  </w:divsChild>
                </w:div>
                <w:div w:id="734159076">
                  <w:marLeft w:val="0"/>
                  <w:marRight w:val="0"/>
                  <w:marTop w:val="0"/>
                  <w:marBottom w:val="0"/>
                  <w:divBdr>
                    <w:top w:val="none" w:sz="0" w:space="0" w:color="auto"/>
                    <w:left w:val="none" w:sz="0" w:space="0" w:color="auto"/>
                    <w:bottom w:val="none" w:sz="0" w:space="0" w:color="auto"/>
                    <w:right w:val="none" w:sz="0" w:space="0" w:color="auto"/>
                  </w:divBdr>
                  <w:divsChild>
                    <w:div w:id="205831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1408">
          <w:marLeft w:val="0"/>
          <w:marRight w:val="0"/>
          <w:marTop w:val="0"/>
          <w:marBottom w:val="0"/>
          <w:divBdr>
            <w:top w:val="none" w:sz="0" w:space="0" w:color="auto"/>
            <w:left w:val="none" w:sz="0" w:space="0" w:color="auto"/>
            <w:bottom w:val="none" w:sz="0" w:space="0" w:color="auto"/>
            <w:right w:val="none" w:sz="0" w:space="0" w:color="auto"/>
          </w:divBdr>
        </w:div>
        <w:div w:id="1274746617">
          <w:marLeft w:val="0"/>
          <w:marRight w:val="0"/>
          <w:marTop w:val="0"/>
          <w:marBottom w:val="0"/>
          <w:divBdr>
            <w:top w:val="none" w:sz="0" w:space="0" w:color="auto"/>
            <w:left w:val="none" w:sz="0" w:space="0" w:color="auto"/>
            <w:bottom w:val="none" w:sz="0" w:space="0" w:color="auto"/>
            <w:right w:val="none" w:sz="0" w:space="0" w:color="auto"/>
          </w:divBdr>
        </w:div>
        <w:div w:id="1706172890">
          <w:marLeft w:val="0"/>
          <w:marRight w:val="0"/>
          <w:marTop w:val="0"/>
          <w:marBottom w:val="0"/>
          <w:divBdr>
            <w:top w:val="none" w:sz="0" w:space="0" w:color="auto"/>
            <w:left w:val="none" w:sz="0" w:space="0" w:color="auto"/>
            <w:bottom w:val="none" w:sz="0" w:space="0" w:color="auto"/>
            <w:right w:val="none" w:sz="0" w:space="0" w:color="auto"/>
          </w:divBdr>
        </w:div>
        <w:div w:id="1448356734">
          <w:marLeft w:val="0"/>
          <w:marRight w:val="0"/>
          <w:marTop w:val="0"/>
          <w:marBottom w:val="0"/>
          <w:divBdr>
            <w:top w:val="none" w:sz="0" w:space="0" w:color="auto"/>
            <w:left w:val="none" w:sz="0" w:space="0" w:color="auto"/>
            <w:bottom w:val="none" w:sz="0" w:space="0" w:color="auto"/>
            <w:right w:val="none" w:sz="0" w:space="0" w:color="auto"/>
          </w:divBdr>
          <w:divsChild>
            <w:div w:id="755246091">
              <w:marLeft w:val="-75"/>
              <w:marRight w:val="0"/>
              <w:marTop w:val="30"/>
              <w:marBottom w:val="30"/>
              <w:divBdr>
                <w:top w:val="none" w:sz="0" w:space="0" w:color="auto"/>
                <w:left w:val="none" w:sz="0" w:space="0" w:color="auto"/>
                <w:bottom w:val="none" w:sz="0" w:space="0" w:color="auto"/>
                <w:right w:val="none" w:sz="0" w:space="0" w:color="auto"/>
              </w:divBdr>
              <w:divsChild>
                <w:div w:id="864757198">
                  <w:marLeft w:val="0"/>
                  <w:marRight w:val="0"/>
                  <w:marTop w:val="0"/>
                  <w:marBottom w:val="0"/>
                  <w:divBdr>
                    <w:top w:val="none" w:sz="0" w:space="0" w:color="auto"/>
                    <w:left w:val="none" w:sz="0" w:space="0" w:color="auto"/>
                    <w:bottom w:val="none" w:sz="0" w:space="0" w:color="auto"/>
                    <w:right w:val="none" w:sz="0" w:space="0" w:color="auto"/>
                  </w:divBdr>
                  <w:divsChild>
                    <w:div w:id="1101489210">
                      <w:marLeft w:val="0"/>
                      <w:marRight w:val="0"/>
                      <w:marTop w:val="0"/>
                      <w:marBottom w:val="0"/>
                      <w:divBdr>
                        <w:top w:val="none" w:sz="0" w:space="0" w:color="auto"/>
                        <w:left w:val="none" w:sz="0" w:space="0" w:color="auto"/>
                        <w:bottom w:val="none" w:sz="0" w:space="0" w:color="auto"/>
                        <w:right w:val="none" w:sz="0" w:space="0" w:color="auto"/>
                      </w:divBdr>
                    </w:div>
                  </w:divsChild>
                </w:div>
                <w:div w:id="2120483923">
                  <w:marLeft w:val="0"/>
                  <w:marRight w:val="0"/>
                  <w:marTop w:val="0"/>
                  <w:marBottom w:val="0"/>
                  <w:divBdr>
                    <w:top w:val="none" w:sz="0" w:space="0" w:color="auto"/>
                    <w:left w:val="none" w:sz="0" w:space="0" w:color="auto"/>
                    <w:bottom w:val="none" w:sz="0" w:space="0" w:color="auto"/>
                    <w:right w:val="none" w:sz="0" w:space="0" w:color="auto"/>
                  </w:divBdr>
                  <w:divsChild>
                    <w:div w:id="1769420116">
                      <w:marLeft w:val="0"/>
                      <w:marRight w:val="0"/>
                      <w:marTop w:val="0"/>
                      <w:marBottom w:val="0"/>
                      <w:divBdr>
                        <w:top w:val="none" w:sz="0" w:space="0" w:color="auto"/>
                        <w:left w:val="none" w:sz="0" w:space="0" w:color="auto"/>
                        <w:bottom w:val="none" w:sz="0" w:space="0" w:color="auto"/>
                        <w:right w:val="none" w:sz="0" w:space="0" w:color="auto"/>
                      </w:divBdr>
                    </w:div>
                  </w:divsChild>
                </w:div>
                <w:div w:id="1503156064">
                  <w:marLeft w:val="0"/>
                  <w:marRight w:val="0"/>
                  <w:marTop w:val="0"/>
                  <w:marBottom w:val="0"/>
                  <w:divBdr>
                    <w:top w:val="none" w:sz="0" w:space="0" w:color="auto"/>
                    <w:left w:val="none" w:sz="0" w:space="0" w:color="auto"/>
                    <w:bottom w:val="none" w:sz="0" w:space="0" w:color="auto"/>
                    <w:right w:val="none" w:sz="0" w:space="0" w:color="auto"/>
                  </w:divBdr>
                  <w:divsChild>
                    <w:div w:id="2068334749">
                      <w:marLeft w:val="0"/>
                      <w:marRight w:val="0"/>
                      <w:marTop w:val="0"/>
                      <w:marBottom w:val="0"/>
                      <w:divBdr>
                        <w:top w:val="none" w:sz="0" w:space="0" w:color="auto"/>
                        <w:left w:val="none" w:sz="0" w:space="0" w:color="auto"/>
                        <w:bottom w:val="none" w:sz="0" w:space="0" w:color="auto"/>
                        <w:right w:val="none" w:sz="0" w:space="0" w:color="auto"/>
                      </w:divBdr>
                    </w:div>
                  </w:divsChild>
                </w:div>
                <w:div w:id="132648862">
                  <w:marLeft w:val="0"/>
                  <w:marRight w:val="0"/>
                  <w:marTop w:val="0"/>
                  <w:marBottom w:val="0"/>
                  <w:divBdr>
                    <w:top w:val="none" w:sz="0" w:space="0" w:color="auto"/>
                    <w:left w:val="none" w:sz="0" w:space="0" w:color="auto"/>
                    <w:bottom w:val="none" w:sz="0" w:space="0" w:color="auto"/>
                    <w:right w:val="none" w:sz="0" w:space="0" w:color="auto"/>
                  </w:divBdr>
                  <w:divsChild>
                    <w:div w:id="396973686">
                      <w:marLeft w:val="0"/>
                      <w:marRight w:val="0"/>
                      <w:marTop w:val="0"/>
                      <w:marBottom w:val="0"/>
                      <w:divBdr>
                        <w:top w:val="none" w:sz="0" w:space="0" w:color="auto"/>
                        <w:left w:val="none" w:sz="0" w:space="0" w:color="auto"/>
                        <w:bottom w:val="none" w:sz="0" w:space="0" w:color="auto"/>
                        <w:right w:val="none" w:sz="0" w:space="0" w:color="auto"/>
                      </w:divBdr>
                    </w:div>
                  </w:divsChild>
                </w:div>
                <w:div w:id="696003678">
                  <w:marLeft w:val="0"/>
                  <w:marRight w:val="0"/>
                  <w:marTop w:val="0"/>
                  <w:marBottom w:val="0"/>
                  <w:divBdr>
                    <w:top w:val="none" w:sz="0" w:space="0" w:color="auto"/>
                    <w:left w:val="none" w:sz="0" w:space="0" w:color="auto"/>
                    <w:bottom w:val="none" w:sz="0" w:space="0" w:color="auto"/>
                    <w:right w:val="none" w:sz="0" w:space="0" w:color="auto"/>
                  </w:divBdr>
                  <w:divsChild>
                    <w:div w:id="748577373">
                      <w:marLeft w:val="0"/>
                      <w:marRight w:val="0"/>
                      <w:marTop w:val="0"/>
                      <w:marBottom w:val="0"/>
                      <w:divBdr>
                        <w:top w:val="none" w:sz="0" w:space="0" w:color="auto"/>
                        <w:left w:val="none" w:sz="0" w:space="0" w:color="auto"/>
                        <w:bottom w:val="none" w:sz="0" w:space="0" w:color="auto"/>
                        <w:right w:val="none" w:sz="0" w:space="0" w:color="auto"/>
                      </w:divBdr>
                    </w:div>
                  </w:divsChild>
                </w:div>
                <w:div w:id="1536578939">
                  <w:marLeft w:val="0"/>
                  <w:marRight w:val="0"/>
                  <w:marTop w:val="0"/>
                  <w:marBottom w:val="0"/>
                  <w:divBdr>
                    <w:top w:val="none" w:sz="0" w:space="0" w:color="auto"/>
                    <w:left w:val="none" w:sz="0" w:space="0" w:color="auto"/>
                    <w:bottom w:val="none" w:sz="0" w:space="0" w:color="auto"/>
                    <w:right w:val="none" w:sz="0" w:space="0" w:color="auto"/>
                  </w:divBdr>
                  <w:divsChild>
                    <w:div w:id="521170640">
                      <w:marLeft w:val="0"/>
                      <w:marRight w:val="0"/>
                      <w:marTop w:val="0"/>
                      <w:marBottom w:val="0"/>
                      <w:divBdr>
                        <w:top w:val="none" w:sz="0" w:space="0" w:color="auto"/>
                        <w:left w:val="none" w:sz="0" w:space="0" w:color="auto"/>
                        <w:bottom w:val="none" w:sz="0" w:space="0" w:color="auto"/>
                        <w:right w:val="none" w:sz="0" w:space="0" w:color="auto"/>
                      </w:divBdr>
                    </w:div>
                  </w:divsChild>
                </w:div>
                <w:div w:id="872233657">
                  <w:marLeft w:val="0"/>
                  <w:marRight w:val="0"/>
                  <w:marTop w:val="0"/>
                  <w:marBottom w:val="0"/>
                  <w:divBdr>
                    <w:top w:val="none" w:sz="0" w:space="0" w:color="auto"/>
                    <w:left w:val="none" w:sz="0" w:space="0" w:color="auto"/>
                    <w:bottom w:val="none" w:sz="0" w:space="0" w:color="auto"/>
                    <w:right w:val="none" w:sz="0" w:space="0" w:color="auto"/>
                  </w:divBdr>
                  <w:divsChild>
                    <w:div w:id="2108887102">
                      <w:marLeft w:val="0"/>
                      <w:marRight w:val="0"/>
                      <w:marTop w:val="0"/>
                      <w:marBottom w:val="0"/>
                      <w:divBdr>
                        <w:top w:val="none" w:sz="0" w:space="0" w:color="auto"/>
                        <w:left w:val="none" w:sz="0" w:space="0" w:color="auto"/>
                        <w:bottom w:val="none" w:sz="0" w:space="0" w:color="auto"/>
                        <w:right w:val="none" w:sz="0" w:space="0" w:color="auto"/>
                      </w:divBdr>
                    </w:div>
                  </w:divsChild>
                </w:div>
                <w:div w:id="1288976320">
                  <w:marLeft w:val="0"/>
                  <w:marRight w:val="0"/>
                  <w:marTop w:val="0"/>
                  <w:marBottom w:val="0"/>
                  <w:divBdr>
                    <w:top w:val="none" w:sz="0" w:space="0" w:color="auto"/>
                    <w:left w:val="none" w:sz="0" w:space="0" w:color="auto"/>
                    <w:bottom w:val="none" w:sz="0" w:space="0" w:color="auto"/>
                    <w:right w:val="none" w:sz="0" w:space="0" w:color="auto"/>
                  </w:divBdr>
                  <w:divsChild>
                    <w:div w:id="1402218237">
                      <w:marLeft w:val="0"/>
                      <w:marRight w:val="0"/>
                      <w:marTop w:val="0"/>
                      <w:marBottom w:val="0"/>
                      <w:divBdr>
                        <w:top w:val="none" w:sz="0" w:space="0" w:color="auto"/>
                        <w:left w:val="none" w:sz="0" w:space="0" w:color="auto"/>
                        <w:bottom w:val="none" w:sz="0" w:space="0" w:color="auto"/>
                        <w:right w:val="none" w:sz="0" w:space="0" w:color="auto"/>
                      </w:divBdr>
                    </w:div>
                  </w:divsChild>
                </w:div>
                <w:div w:id="1957758166">
                  <w:marLeft w:val="0"/>
                  <w:marRight w:val="0"/>
                  <w:marTop w:val="0"/>
                  <w:marBottom w:val="0"/>
                  <w:divBdr>
                    <w:top w:val="none" w:sz="0" w:space="0" w:color="auto"/>
                    <w:left w:val="none" w:sz="0" w:space="0" w:color="auto"/>
                    <w:bottom w:val="none" w:sz="0" w:space="0" w:color="auto"/>
                    <w:right w:val="none" w:sz="0" w:space="0" w:color="auto"/>
                  </w:divBdr>
                  <w:divsChild>
                    <w:div w:id="1212115218">
                      <w:marLeft w:val="0"/>
                      <w:marRight w:val="0"/>
                      <w:marTop w:val="0"/>
                      <w:marBottom w:val="0"/>
                      <w:divBdr>
                        <w:top w:val="none" w:sz="0" w:space="0" w:color="auto"/>
                        <w:left w:val="none" w:sz="0" w:space="0" w:color="auto"/>
                        <w:bottom w:val="none" w:sz="0" w:space="0" w:color="auto"/>
                        <w:right w:val="none" w:sz="0" w:space="0" w:color="auto"/>
                      </w:divBdr>
                    </w:div>
                  </w:divsChild>
                </w:div>
                <w:div w:id="706371808">
                  <w:marLeft w:val="0"/>
                  <w:marRight w:val="0"/>
                  <w:marTop w:val="0"/>
                  <w:marBottom w:val="0"/>
                  <w:divBdr>
                    <w:top w:val="none" w:sz="0" w:space="0" w:color="auto"/>
                    <w:left w:val="none" w:sz="0" w:space="0" w:color="auto"/>
                    <w:bottom w:val="none" w:sz="0" w:space="0" w:color="auto"/>
                    <w:right w:val="none" w:sz="0" w:space="0" w:color="auto"/>
                  </w:divBdr>
                  <w:divsChild>
                    <w:div w:id="177698135">
                      <w:marLeft w:val="0"/>
                      <w:marRight w:val="0"/>
                      <w:marTop w:val="0"/>
                      <w:marBottom w:val="0"/>
                      <w:divBdr>
                        <w:top w:val="none" w:sz="0" w:space="0" w:color="auto"/>
                        <w:left w:val="none" w:sz="0" w:space="0" w:color="auto"/>
                        <w:bottom w:val="none" w:sz="0" w:space="0" w:color="auto"/>
                        <w:right w:val="none" w:sz="0" w:space="0" w:color="auto"/>
                      </w:divBdr>
                    </w:div>
                  </w:divsChild>
                </w:div>
                <w:div w:id="1792043623">
                  <w:marLeft w:val="0"/>
                  <w:marRight w:val="0"/>
                  <w:marTop w:val="0"/>
                  <w:marBottom w:val="0"/>
                  <w:divBdr>
                    <w:top w:val="none" w:sz="0" w:space="0" w:color="auto"/>
                    <w:left w:val="none" w:sz="0" w:space="0" w:color="auto"/>
                    <w:bottom w:val="none" w:sz="0" w:space="0" w:color="auto"/>
                    <w:right w:val="none" w:sz="0" w:space="0" w:color="auto"/>
                  </w:divBdr>
                  <w:divsChild>
                    <w:div w:id="88619715">
                      <w:marLeft w:val="0"/>
                      <w:marRight w:val="0"/>
                      <w:marTop w:val="0"/>
                      <w:marBottom w:val="0"/>
                      <w:divBdr>
                        <w:top w:val="none" w:sz="0" w:space="0" w:color="auto"/>
                        <w:left w:val="none" w:sz="0" w:space="0" w:color="auto"/>
                        <w:bottom w:val="none" w:sz="0" w:space="0" w:color="auto"/>
                        <w:right w:val="none" w:sz="0" w:space="0" w:color="auto"/>
                      </w:divBdr>
                    </w:div>
                  </w:divsChild>
                </w:div>
                <w:div w:id="489904206">
                  <w:marLeft w:val="0"/>
                  <w:marRight w:val="0"/>
                  <w:marTop w:val="0"/>
                  <w:marBottom w:val="0"/>
                  <w:divBdr>
                    <w:top w:val="none" w:sz="0" w:space="0" w:color="auto"/>
                    <w:left w:val="none" w:sz="0" w:space="0" w:color="auto"/>
                    <w:bottom w:val="none" w:sz="0" w:space="0" w:color="auto"/>
                    <w:right w:val="none" w:sz="0" w:space="0" w:color="auto"/>
                  </w:divBdr>
                  <w:divsChild>
                    <w:div w:id="185754195">
                      <w:marLeft w:val="0"/>
                      <w:marRight w:val="0"/>
                      <w:marTop w:val="0"/>
                      <w:marBottom w:val="0"/>
                      <w:divBdr>
                        <w:top w:val="none" w:sz="0" w:space="0" w:color="auto"/>
                        <w:left w:val="none" w:sz="0" w:space="0" w:color="auto"/>
                        <w:bottom w:val="none" w:sz="0" w:space="0" w:color="auto"/>
                        <w:right w:val="none" w:sz="0" w:space="0" w:color="auto"/>
                      </w:divBdr>
                    </w:div>
                  </w:divsChild>
                </w:div>
                <w:div w:id="84696650">
                  <w:marLeft w:val="0"/>
                  <w:marRight w:val="0"/>
                  <w:marTop w:val="0"/>
                  <w:marBottom w:val="0"/>
                  <w:divBdr>
                    <w:top w:val="none" w:sz="0" w:space="0" w:color="auto"/>
                    <w:left w:val="none" w:sz="0" w:space="0" w:color="auto"/>
                    <w:bottom w:val="none" w:sz="0" w:space="0" w:color="auto"/>
                    <w:right w:val="none" w:sz="0" w:space="0" w:color="auto"/>
                  </w:divBdr>
                  <w:divsChild>
                    <w:div w:id="1432748376">
                      <w:marLeft w:val="0"/>
                      <w:marRight w:val="0"/>
                      <w:marTop w:val="0"/>
                      <w:marBottom w:val="0"/>
                      <w:divBdr>
                        <w:top w:val="none" w:sz="0" w:space="0" w:color="auto"/>
                        <w:left w:val="none" w:sz="0" w:space="0" w:color="auto"/>
                        <w:bottom w:val="none" w:sz="0" w:space="0" w:color="auto"/>
                        <w:right w:val="none" w:sz="0" w:space="0" w:color="auto"/>
                      </w:divBdr>
                    </w:div>
                  </w:divsChild>
                </w:div>
                <w:div w:id="1019507182">
                  <w:marLeft w:val="0"/>
                  <w:marRight w:val="0"/>
                  <w:marTop w:val="0"/>
                  <w:marBottom w:val="0"/>
                  <w:divBdr>
                    <w:top w:val="none" w:sz="0" w:space="0" w:color="auto"/>
                    <w:left w:val="none" w:sz="0" w:space="0" w:color="auto"/>
                    <w:bottom w:val="none" w:sz="0" w:space="0" w:color="auto"/>
                    <w:right w:val="none" w:sz="0" w:space="0" w:color="auto"/>
                  </w:divBdr>
                  <w:divsChild>
                    <w:div w:id="1632710801">
                      <w:marLeft w:val="0"/>
                      <w:marRight w:val="0"/>
                      <w:marTop w:val="0"/>
                      <w:marBottom w:val="0"/>
                      <w:divBdr>
                        <w:top w:val="none" w:sz="0" w:space="0" w:color="auto"/>
                        <w:left w:val="none" w:sz="0" w:space="0" w:color="auto"/>
                        <w:bottom w:val="none" w:sz="0" w:space="0" w:color="auto"/>
                        <w:right w:val="none" w:sz="0" w:space="0" w:color="auto"/>
                      </w:divBdr>
                    </w:div>
                  </w:divsChild>
                </w:div>
                <w:div w:id="1318026602">
                  <w:marLeft w:val="0"/>
                  <w:marRight w:val="0"/>
                  <w:marTop w:val="0"/>
                  <w:marBottom w:val="0"/>
                  <w:divBdr>
                    <w:top w:val="none" w:sz="0" w:space="0" w:color="auto"/>
                    <w:left w:val="none" w:sz="0" w:space="0" w:color="auto"/>
                    <w:bottom w:val="none" w:sz="0" w:space="0" w:color="auto"/>
                    <w:right w:val="none" w:sz="0" w:space="0" w:color="auto"/>
                  </w:divBdr>
                  <w:divsChild>
                    <w:div w:id="1597328194">
                      <w:marLeft w:val="0"/>
                      <w:marRight w:val="0"/>
                      <w:marTop w:val="0"/>
                      <w:marBottom w:val="0"/>
                      <w:divBdr>
                        <w:top w:val="none" w:sz="0" w:space="0" w:color="auto"/>
                        <w:left w:val="none" w:sz="0" w:space="0" w:color="auto"/>
                        <w:bottom w:val="none" w:sz="0" w:space="0" w:color="auto"/>
                        <w:right w:val="none" w:sz="0" w:space="0" w:color="auto"/>
                      </w:divBdr>
                    </w:div>
                  </w:divsChild>
                </w:div>
                <w:div w:id="1010721947">
                  <w:marLeft w:val="0"/>
                  <w:marRight w:val="0"/>
                  <w:marTop w:val="0"/>
                  <w:marBottom w:val="0"/>
                  <w:divBdr>
                    <w:top w:val="none" w:sz="0" w:space="0" w:color="auto"/>
                    <w:left w:val="none" w:sz="0" w:space="0" w:color="auto"/>
                    <w:bottom w:val="none" w:sz="0" w:space="0" w:color="auto"/>
                    <w:right w:val="none" w:sz="0" w:space="0" w:color="auto"/>
                  </w:divBdr>
                  <w:divsChild>
                    <w:div w:id="18922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677464">
          <w:marLeft w:val="0"/>
          <w:marRight w:val="0"/>
          <w:marTop w:val="0"/>
          <w:marBottom w:val="0"/>
          <w:divBdr>
            <w:top w:val="none" w:sz="0" w:space="0" w:color="auto"/>
            <w:left w:val="none" w:sz="0" w:space="0" w:color="auto"/>
            <w:bottom w:val="none" w:sz="0" w:space="0" w:color="auto"/>
            <w:right w:val="none" w:sz="0" w:space="0" w:color="auto"/>
          </w:divBdr>
          <w:divsChild>
            <w:div w:id="90517610">
              <w:marLeft w:val="0"/>
              <w:marRight w:val="0"/>
              <w:marTop w:val="0"/>
              <w:marBottom w:val="0"/>
              <w:divBdr>
                <w:top w:val="none" w:sz="0" w:space="0" w:color="auto"/>
                <w:left w:val="none" w:sz="0" w:space="0" w:color="auto"/>
                <w:bottom w:val="none" w:sz="0" w:space="0" w:color="auto"/>
                <w:right w:val="none" w:sz="0" w:space="0" w:color="auto"/>
              </w:divBdr>
            </w:div>
            <w:div w:id="1926844095">
              <w:marLeft w:val="0"/>
              <w:marRight w:val="0"/>
              <w:marTop w:val="0"/>
              <w:marBottom w:val="0"/>
              <w:divBdr>
                <w:top w:val="none" w:sz="0" w:space="0" w:color="auto"/>
                <w:left w:val="none" w:sz="0" w:space="0" w:color="auto"/>
                <w:bottom w:val="none" w:sz="0" w:space="0" w:color="auto"/>
                <w:right w:val="none" w:sz="0" w:space="0" w:color="auto"/>
              </w:divBdr>
            </w:div>
            <w:div w:id="45379925">
              <w:marLeft w:val="0"/>
              <w:marRight w:val="0"/>
              <w:marTop w:val="0"/>
              <w:marBottom w:val="0"/>
              <w:divBdr>
                <w:top w:val="none" w:sz="0" w:space="0" w:color="auto"/>
                <w:left w:val="none" w:sz="0" w:space="0" w:color="auto"/>
                <w:bottom w:val="none" w:sz="0" w:space="0" w:color="auto"/>
                <w:right w:val="none" w:sz="0" w:space="0" w:color="auto"/>
              </w:divBdr>
            </w:div>
            <w:div w:id="1945921430">
              <w:marLeft w:val="0"/>
              <w:marRight w:val="0"/>
              <w:marTop w:val="0"/>
              <w:marBottom w:val="0"/>
              <w:divBdr>
                <w:top w:val="none" w:sz="0" w:space="0" w:color="auto"/>
                <w:left w:val="none" w:sz="0" w:space="0" w:color="auto"/>
                <w:bottom w:val="none" w:sz="0" w:space="0" w:color="auto"/>
                <w:right w:val="none" w:sz="0" w:space="0" w:color="auto"/>
              </w:divBdr>
            </w:div>
            <w:div w:id="168643198">
              <w:marLeft w:val="0"/>
              <w:marRight w:val="0"/>
              <w:marTop w:val="0"/>
              <w:marBottom w:val="0"/>
              <w:divBdr>
                <w:top w:val="none" w:sz="0" w:space="0" w:color="auto"/>
                <w:left w:val="none" w:sz="0" w:space="0" w:color="auto"/>
                <w:bottom w:val="none" w:sz="0" w:space="0" w:color="auto"/>
                <w:right w:val="none" w:sz="0" w:space="0" w:color="auto"/>
              </w:divBdr>
            </w:div>
            <w:div w:id="638147701">
              <w:marLeft w:val="0"/>
              <w:marRight w:val="0"/>
              <w:marTop w:val="0"/>
              <w:marBottom w:val="0"/>
              <w:divBdr>
                <w:top w:val="none" w:sz="0" w:space="0" w:color="auto"/>
                <w:left w:val="none" w:sz="0" w:space="0" w:color="auto"/>
                <w:bottom w:val="none" w:sz="0" w:space="0" w:color="auto"/>
                <w:right w:val="none" w:sz="0" w:space="0" w:color="auto"/>
              </w:divBdr>
            </w:div>
            <w:div w:id="326717328">
              <w:marLeft w:val="0"/>
              <w:marRight w:val="0"/>
              <w:marTop w:val="0"/>
              <w:marBottom w:val="0"/>
              <w:divBdr>
                <w:top w:val="none" w:sz="0" w:space="0" w:color="auto"/>
                <w:left w:val="none" w:sz="0" w:space="0" w:color="auto"/>
                <w:bottom w:val="none" w:sz="0" w:space="0" w:color="auto"/>
                <w:right w:val="none" w:sz="0" w:space="0" w:color="auto"/>
              </w:divBdr>
            </w:div>
          </w:divsChild>
        </w:div>
        <w:div w:id="1157771795">
          <w:marLeft w:val="0"/>
          <w:marRight w:val="0"/>
          <w:marTop w:val="0"/>
          <w:marBottom w:val="0"/>
          <w:divBdr>
            <w:top w:val="none" w:sz="0" w:space="0" w:color="auto"/>
            <w:left w:val="none" w:sz="0" w:space="0" w:color="auto"/>
            <w:bottom w:val="none" w:sz="0" w:space="0" w:color="auto"/>
            <w:right w:val="none" w:sz="0" w:space="0" w:color="auto"/>
          </w:divBdr>
          <w:divsChild>
            <w:div w:id="1722754379">
              <w:marLeft w:val="-75"/>
              <w:marRight w:val="0"/>
              <w:marTop w:val="30"/>
              <w:marBottom w:val="30"/>
              <w:divBdr>
                <w:top w:val="none" w:sz="0" w:space="0" w:color="auto"/>
                <w:left w:val="none" w:sz="0" w:space="0" w:color="auto"/>
                <w:bottom w:val="none" w:sz="0" w:space="0" w:color="auto"/>
                <w:right w:val="none" w:sz="0" w:space="0" w:color="auto"/>
              </w:divBdr>
              <w:divsChild>
                <w:div w:id="1861237075">
                  <w:marLeft w:val="0"/>
                  <w:marRight w:val="0"/>
                  <w:marTop w:val="0"/>
                  <w:marBottom w:val="0"/>
                  <w:divBdr>
                    <w:top w:val="none" w:sz="0" w:space="0" w:color="auto"/>
                    <w:left w:val="none" w:sz="0" w:space="0" w:color="auto"/>
                    <w:bottom w:val="none" w:sz="0" w:space="0" w:color="auto"/>
                    <w:right w:val="none" w:sz="0" w:space="0" w:color="auto"/>
                  </w:divBdr>
                  <w:divsChild>
                    <w:div w:id="809058645">
                      <w:marLeft w:val="0"/>
                      <w:marRight w:val="0"/>
                      <w:marTop w:val="0"/>
                      <w:marBottom w:val="0"/>
                      <w:divBdr>
                        <w:top w:val="none" w:sz="0" w:space="0" w:color="auto"/>
                        <w:left w:val="none" w:sz="0" w:space="0" w:color="auto"/>
                        <w:bottom w:val="none" w:sz="0" w:space="0" w:color="auto"/>
                        <w:right w:val="none" w:sz="0" w:space="0" w:color="auto"/>
                      </w:divBdr>
                    </w:div>
                  </w:divsChild>
                </w:div>
                <w:div w:id="93405573">
                  <w:marLeft w:val="0"/>
                  <w:marRight w:val="0"/>
                  <w:marTop w:val="0"/>
                  <w:marBottom w:val="0"/>
                  <w:divBdr>
                    <w:top w:val="none" w:sz="0" w:space="0" w:color="auto"/>
                    <w:left w:val="none" w:sz="0" w:space="0" w:color="auto"/>
                    <w:bottom w:val="none" w:sz="0" w:space="0" w:color="auto"/>
                    <w:right w:val="none" w:sz="0" w:space="0" w:color="auto"/>
                  </w:divBdr>
                  <w:divsChild>
                    <w:div w:id="1129399574">
                      <w:marLeft w:val="0"/>
                      <w:marRight w:val="0"/>
                      <w:marTop w:val="0"/>
                      <w:marBottom w:val="0"/>
                      <w:divBdr>
                        <w:top w:val="none" w:sz="0" w:space="0" w:color="auto"/>
                        <w:left w:val="none" w:sz="0" w:space="0" w:color="auto"/>
                        <w:bottom w:val="none" w:sz="0" w:space="0" w:color="auto"/>
                        <w:right w:val="none" w:sz="0" w:space="0" w:color="auto"/>
                      </w:divBdr>
                    </w:div>
                  </w:divsChild>
                </w:div>
                <w:div w:id="1348286794">
                  <w:marLeft w:val="0"/>
                  <w:marRight w:val="0"/>
                  <w:marTop w:val="0"/>
                  <w:marBottom w:val="0"/>
                  <w:divBdr>
                    <w:top w:val="none" w:sz="0" w:space="0" w:color="auto"/>
                    <w:left w:val="none" w:sz="0" w:space="0" w:color="auto"/>
                    <w:bottom w:val="none" w:sz="0" w:space="0" w:color="auto"/>
                    <w:right w:val="none" w:sz="0" w:space="0" w:color="auto"/>
                  </w:divBdr>
                  <w:divsChild>
                    <w:div w:id="812059427">
                      <w:marLeft w:val="0"/>
                      <w:marRight w:val="0"/>
                      <w:marTop w:val="0"/>
                      <w:marBottom w:val="0"/>
                      <w:divBdr>
                        <w:top w:val="none" w:sz="0" w:space="0" w:color="auto"/>
                        <w:left w:val="none" w:sz="0" w:space="0" w:color="auto"/>
                        <w:bottom w:val="none" w:sz="0" w:space="0" w:color="auto"/>
                        <w:right w:val="none" w:sz="0" w:space="0" w:color="auto"/>
                      </w:divBdr>
                    </w:div>
                  </w:divsChild>
                </w:div>
                <w:div w:id="1743597013">
                  <w:marLeft w:val="0"/>
                  <w:marRight w:val="0"/>
                  <w:marTop w:val="0"/>
                  <w:marBottom w:val="0"/>
                  <w:divBdr>
                    <w:top w:val="none" w:sz="0" w:space="0" w:color="auto"/>
                    <w:left w:val="none" w:sz="0" w:space="0" w:color="auto"/>
                    <w:bottom w:val="none" w:sz="0" w:space="0" w:color="auto"/>
                    <w:right w:val="none" w:sz="0" w:space="0" w:color="auto"/>
                  </w:divBdr>
                  <w:divsChild>
                    <w:div w:id="1475097246">
                      <w:marLeft w:val="0"/>
                      <w:marRight w:val="0"/>
                      <w:marTop w:val="0"/>
                      <w:marBottom w:val="0"/>
                      <w:divBdr>
                        <w:top w:val="none" w:sz="0" w:space="0" w:color="auto"/>
                        <w:left w:val="none" w:sz="0" w:space="0" w:color="auto"/>
                        <w:bottom w:val="none" w:sz="0" w:space="0" w:color="auto"/>
                        <w:right w:val="none" w:sz="0" w:space="0" w:color="auto"/>
                      </w:divBdr>
                    </w:div>
                  </w:divsChild>
                </w:div>
                <w:div w:id="538475047">
                  <w:marLeft w:val="0"/>
                  <w:marRight w:val="0"/>
                  <w:marTop w:val="0"/>
                  <w:marBottom w:val="0"/>
                  <w:divBdr>
                    <w:top w:val="none" w:sz="0" w:space="0" w:color="auto"/>
                    <w:left w:val="none" w:sz="0" w:space="0" w:color="auto"/>
                    <w:bottom w:val="none" w:sz="0" w:space="0" w:color="auto"/>
                    <w:right w:val="none" w:sz="0" w:space="0" w:color="auto"/>
                  </w:divBdr>
                  <w:divsChild>
                    <w:div w:id="1658148067">
                      <w:marLeft w:val="0"/>
                      <w:marRight w:val="0"/>
                      <w:marTop w:val="0"/>
                      <w:marBottom w:val="0"/>
                      <w:divBdr>
                        <w:top w:val="none" w:sz="0" w:space="0" w:color="auto"/>
                        <w:left w:val="none" w:sz="0" w:space="0" w:color="auto"/>
                        <w:bottom w:val="none" w:sz="0" w:space="0" w:color="auto"/>
                        <w:right w:val="none" w:sz="0" w:space="0" w:color="auto"/>
                      </w:divBdr>
                    </w:div>
                  </w:divsChild>
                </w:div>
                <w:div w:id="831288582">
                  <w:marLeft w:val="0"/>
                  <w:marRight w:val="0"/>
                  <w:marTop w:val="0"/>
                  <w:marBottom w:val="0"/>
                  <w:divBdr>
                    <w:top w:val="none" w:sz="0" w:space="0" w:color="auto"/>
                    <w:left w:val="none" w:sz="0" w:space="0" w:color="auto"/>
                    <w:bottom w:val="none" w:sz="0" w:space="0" w:color="auto"/>
                    <w:right w:val="none" w:sz="0" w:space="0" w:color="auto"/>
                  </w:divBdr>
                  <w:divsChild>
                    <w:div w:id="1552423595">
                      <w:marLeft w:val="0"/>
                      <w:marRight w:val="0"/>
                      <w:marTop w:val="0"/>
                      <w:marBottom w:val="0"/>
                      <w:divBdr>
                        <w:top w:val="none" w:sz="0" w:space="0" w:color="auto"/>
                        <w:left w:val="none" w:sz="0" w:space="0" w:color="auto"/>
                        <w:bottom w:val="none" w:sz="0" w:space="0" w:color="auto"/>
                        <w:right w:val="none" w:sz="0" w:space="0" w:color="auto"/>
                      </w:divBdr>
                    </w:div>
                  </w:divsChild>
                </w:div>
                <w:div w:id="255288953">
                  <w:marLeft w:val="0"/>
                  <w:marRight w:val="0"/>
                  <w:marTop w:val="0"/>
                  <w:marBottom w:val="0"/>
                  <w:divBdr>
                    <w:top w:val="none" w:sz="0" w:space="0" w:color="auto"/>
                    <w:left w:val="none" w:sz="0" w:space="0" w:color="auto"/>
                    <w:bottom w:val="none" w:sz="0" w:space="0" w:color="auto"/>
                    <w:right w:val="none" w:sz="0" w:space="0" w:color="auto"/>
                  </w:divBdr>
                  <w:divsChild>
                    <w:div w:id="235745988">
                      <w:marLeft w:val="0"/>
                      <w:marRight w:val="0"/>
                      <w:marTop w:val="0"/>
                      <w:marBottom w:val="0"/>
                      <w:divBdr>
                        <w:top w:val="none" w:sz="0" w:space="0" w:color="auto"/>
                        <w:left w:val="none" w:sz="0" w:space="0" w:color="auto"/>
                        <w:bottom w:val="none" w:sz="0" w:space="0" w:color="auto"/>
                        <w:right w:val="none" w:sz="0" w:space="0" w:color="auto"/>
                      </w:divBdr>
                    </w:div>
                  </w:divsChild>
                </w:div>
                <w:div w:id="1556315946">
                  <w:marLeft w:val="0"/>
                  <w:marRight w:val="0"/>
                  <w:marTop w:val="0"/>
                  <w:marBottom w:val="0"/>
                  <w:divBdr>
                    <w:top w:val="none" w:sz="0" w:space="0" w:color="auto"/>
                    <w:left w:val="none" w:sz="0" w:space="0" w:color="auto"/>
                    <w:bottom w:val="none" w:sz="0" w:space="0" w:color="auto"/>
                    <w:right w:val="none" w:sz="0" w:space="0" w:color="auto"/>
                  </w:divBdr>
                  <w:divsChild>
                    <w:div w:id="1746801527">
                      <w:marLeft w:val="0"/>
                      <w:marRight w:val="0"/>
                      <w:marTop w:val="0"/>
                      <w:marBottom w:val="0"/>
                      <w:divBdr>
                        <w:top w:val="none" w:sz="0" w:space="0" w:color="auto"/>
                        <w:left w:val="none" w:sz="0" w:space="0" w:color="auto"/>
                        <w:bottom w:val="none" w:sz="0" w:space="0" w:color="auto"/>
                        <w:right w:val="none" w:sz="0" w:space="0" w:color="auto"/>
                      </w:divBdr>
                    </w:div>
                  </w:divsChild>
                </w:div>
                <w:div w:id="63452303">
                  <w:marLeft w:val="0"/>
                  <w:marRight w:val="0"/>
                  <w:marTop w:val="0"/>
                  <w:marBottom w:val="0"/>
                  <w:divBdr>
                    <w:top w:val="none" w:sz="0" w:space="0" w:color="auto"/>
                    <w:left w:val="none" w:sz="0" w:space="0" w:color="auto"/>
                    <w:bottom w:val="none" w:sz="0" w:space="0" w:color="auto"/>
                    <w:right w:val="none" w:sz="0" w:space="0" w:color="auto"/>
                  </w:divBdr>
                  <w:divsChild>
                    <w:div w:id="683635557">
                      <w:marLeft w:val="0"/>
                      <w:marRight w:val="0"/>
                      <w:marTop w:val="0"/>
                      <w:marBottom w:val="0"/>
                      <w:divBdr>
                        <w:top w:val="none" w:sz="0" w:space="0" w:color="auto"/>
                        <w:left w:val="none" w:sz="0" w:space="0" w:color="auto"/>
                        <w:bottom w:val="none" w:sz="0" w:space="0" w:color="auto"/>
                        <w:right w:val="none" w:sz="0" w:space="0" w:color="auto"/>
                      </w:divBdr>
                    </w:div>
                  </w:divsChild>
                </w:div>
                <w:div w:id="131139874">
                  <w:marLeft w:val="0"/>
                  <w:marRight w:val="0"/>
                  <w:marTop w:val="0"/>
                  <w:marBottom w:val="0"/>
                  <w:divBdr>
                    <w:top w:val="none" w:sz="0" w:space="0" w:color="auto"/>
                    <w:left w:val="none" w:sz="0" w:space="0" w:color="auto"/>
                    <w:bottom w:val="none" w:sz="0" w:space="0" w:color="auto"/>
                    <w:right w:val="none" w:sz="0" w:space="0" w:color="auto"/>
                  </w:divBdr>
                  <w:divsChild>
                    <w:div w:id="1757969413">
                      <w:marLeft w:val="0"/>
                      <w:marRight w:val="0"/>
                      <w:marTop w:val="0"/>
                      <w:marBottom w:val="0"/>
                      <w:divBdr>
                        <w:top w:val="none" w:sz="0" w:space="0" w:color="auto"/>
                        <w:left w:val="none" w:sz="0" w:space="0" w:color="auto"/>
                        <w:bottom w:val="none" w:sz="0" w:space="0" w:color="auto"/>
                        <w:right w:val="none" w:sz="0" w:space="0" w:color="auto"/>
                      </w:divBdr>
                    </w:div>
                  </w:divsChild>
                </w:div>
                <w:div w:id="794952472">
                  <w:marLeft w:val="0"/>
                  <w:marRight w:val="0"/>
                  <w:marTop w:val="0"/>
                  <w:marBottom w:val="0"/>
                  <w:divBdr>
                    <w:top w:val="none" w:sz="0" w:space="0" w:color="auto"/>
                    <w:left w:val="none" w:sz="0" w:space="0" w:color="auto"/>
                    <w:bottom w:val="none" w:sz="0" w:space="0" w:color="auto"/>
                    <w:right w:val="none" w:sz="0" w:space="0" w:color="auto"/>
                  </w:divBdr>
                  <w:divsChild>
                    <w:div w:id="1663122821">
                      <w:marLeft w:val="0"/>
                      <w:marRight w:val="0"/>
                      <w:marTop w:val="0"/>
                      <w:marBottom w:val="0"/>
                      <w:divBdr>
                        <w:top w:val="none" w:sz="0" w:space="0" w:color="auto"/>
                        <w:left w:val="none" w:sz="0" w:space="0" w:color="auto"/>
                        <w:bottom w:val="none" w:sz="0" w:space="0" w:color="auto"/>
                        <w:right w:val="none" w:sz="0" w:space="0" w:color="auto"/>
                      </w:divBdr>
                    </w:div>
                  </w:divsChild>
                </w:div>
                <w:div w:id="270667986">
                  <w:marLeft w:val="0"/>
                  <w:marRight w:val="0"/>
                  <w:marTop w:val="0"/>
                  <w:marBottom w:val="0"/>
                  <w:divBdr>
                    <w:top w:val="none" w:sz="0" w:space="0" w:color="auto"/>
                    <w:left w:val="none" w:sz="0" w:space="0" w:color="auto"/>
                    <w:bottom w:val="none" w:sz="0" w:space="0" w:color="auto"/>
                    <w:right w:val="none" w:sz="0" w:space="0" w:color="auto"/>
                  </w:divBdr>
                  <w:divsChild>
                    <w:div w:id="909344530">
                      <w:marLeft w:val="0"/>
                      <w:marRight w:val="0"/>
                      <w:marTop w:val="0"/>
                      <w:marBottom w:val="0"/>
                      <w:divBdr>
                        <w:top w:val="none" w:sz="0" w:space="0" w:color="auto"/>
                        <w:left w:val="none" w:sz="0" w:space="0" w:color="auto"/>
                        <w:bottom w:val="none" w:sz="0" w:space="0" w:color="auto"/>
                        <w:right w:val="none" w:sz="0" w:space="0" w:color="auto"/>
                      </w:divBdr>
                    </w:div>
                  </w:divsChild>
                </w:div>
                <w:div w:id="964115638">
                  <w:marLeft w:val="0"/>
                  <w:marRight w:val="0"/>
                  <w:marTop w:val="0"/>
                  <w:marBottom w:val="0"/>
                  <w:divBdr>
                    <w:top w:val="none" w:sz="0" w:space="0" w:color="auto"/>
                    <w:left w:val="none" w:sz="0" w:space="0" w:color="auto"/>
                    <w:bottom w:val="none" w:sz="0" w:space="0" w:color="auto"/>
                    <w:right w:val="none" w:sz="0" w:space="0" w:color="auto"/>
                  </w:divBdr>
                  <w:divsChild>
                    <w:div w:id="1407456199">
                      <w:marLeft w:val="0"/>
                      <w:marRight w:val="0"/>
                      <w:marTop w:val="0"/>
                      <w:marBottom w:val="0"/>
                      <w:divBdr>
                        <w:top w:val="none" w:sz="0" w:space="0" w:color="auto"/>
                        <w:left w:val="none" w:sz="0" w:space="0" w:color="auto"/>
                        <w:bottom w:val="none" w:sz="0" w:space="0" w:color="auto"/>
                        <w:right w:val="none" w:sz="0" w:space="0" w:color="auto"/>
                      </w:divBdr>
                    </w:div>
                  </w:divsChild>
                </w:div>
                <w:div w:id="540943499">
                  <w:marLeft w:val="0"/>
                  <w:marRight w:val="0"/>
                  <w:marTop w:val="0"/>
                  <w:marBottom w:val="0"/>
                  <w:divBdr>
                    <w:top w:val="none" w:sz="0" w:space="0" w:color="auto"/>
                    <w:left w:val="none" w:sz="0" w:space="0" w:color="auto"/>
                    <w:bottom w:val="none" w:sz="0" w:space="0" w:color="auto"/>
                    <w:right w:val="none" w:sz="0" w:space="0" w:color="auto"/>
                  </w:divBdr>
                  <w:divsChild>
                    <w:div w:id="762609567">
                      <w:marLeft w:val="0"/>
                      <w:marRight w:val="0"/>
                      <w:marTop w:val="0"/>
                      <w:marBottom w:val="0"/>
                      <w:divBdr>
                        <w:top w:val="none" w:sz="0" w:space="0" w:color="auto"/>
                        <w:left w:val="none" w:sz="0" w:space="0" w:color="auto"/>
                        <w:bottom w:val="none" w:sz="0" w:space="0" w:color="auto"/>
                        <w:right w:val="none" w:sz="0" w:space="0" w:color="auto"/>
                      </w:divBdr>
                    </w:div>
                  </w:divsChild>
                </w:div>
                <w:div w:id="1554539618">
                  <w:marLeft w:val="0"/>
                  <w:marRight w:val="0"/>
                  <w:marTop w:val="0"/>
                  <w:marBottom w:val="0"/>
                  <w:divBdr>
                    <w:top w:val="none" w:sz="0" w:space="0" w:color="auto"/>
                    <w:left w:val="none" w:sz="0" w:space="0" w:color="auto"/>
                    <w:bottom w:val="none" w:sz="0" w:space="0" w:color="auto"/>
                    <w:right w:val="none" w:sz="0" w:space="0" w:color="auto"/>
                  </w:divBdr>
                  <w:divsChild>
                    <w:div w:id="2057510960">
                      <w:marLeft w:val="0"/>
                      <w:marRight w:val="0"/>
                      <w:marTop w:val="0"/>
                      <w:marBottom w:val="0"/>
                      <w:divBdr>
                        <w:top w:val="none" w:sz="0" w:space="0" w:color="auto"/>
                        <w:left w:val="none" w:sz="0" w:space="0" w:color="auto"/>
                        <w:bottom w:val="none" w:sz="0" w:space="0" w:color="auto"/>
                        <w:right w:val="none" w:sz="0" w:space="0" w:color="auto"/>
                      </w:divBdr>
                    </w:div>
                  </w:divsChild>
                </w:div>
                <w:div w:id="1623609622">
                  <w:marLeft w:val="0"/>
                  <w:marRight w:val="0"/>
                  <w:marTop w:val="0"/>
                  <w:marBottom w:val="0"/>
                  <w:divBdr>
                    <w:top w:val="none" w:sz="0" w:space="0" w:color="auto"/>
                    <w:left w:val="none" w:sz="0" w:space="0" w:color="auto"/>
                    <w:bottom w:val="none" w:sz="0" w:space="0" w:color="auto"/>
                    <w:right w:val="none" w:sz="0" w:space="0" w:color="auto"/>
                  </w:divBdr>
                  <w:divsChild>
                    <w:div w:id="931742140">
                      <w:marLeft w:val="0"/>
                      <w:marRight w:val="0"/>
                      <w:marTop w:val="0"/>
                      <w:marBottom w:val="0"/>
                      <w:divBdr>
                        <w:top w:val="none" w:sz="0" w:space="0" w:color="auto"/>
                        <w:left w:val="none" w:sz="0" w:space="0" w:color="auto"/>
                        <w:bottom w:val="none" w:sz="0" w:space="0" w:color="auto"/>
                        <w:right w:val="none" w:sz="0" w:space="0" w:color="auto"/>
                      </w:divBdr>
                    </w:div>
                  </w:divsChild>
                </w:div>
                <w:div w:id="1696690566">
                  <w:marLeft w:val="0"/>
                  <w:marRight w:val="0"/>
                  <w:marTop w:val="0"/>
                  <w:marBottom w:val="0"/>
                  <w:divBdr>
                    <w:top w:val="none" w:sz="0" w:space="0" w:color="auto"/>
                    <w:left w:val="none" w:sz="0" w:space="0" w:color="auto"/>
                    <w:bottom w:val="none" w:sz="0" w:space="0" w:color="auto"/>
                    <w:right w:val="none" w:sz="0" w:space="0" w:color="auto"/>
                  </w:divBdr>
                  <w:divsChild>
                    <w:div w:id="1573545146">
                      <w:marLeft w:val="0"/>
                      <w:marRight w:val="0"/>
                      <w:marTop w:val="0"/>
                      <w:marBottom w:val="0"/>
                      <w:divBdr>
                        <w:top w:val="none" w:sz="0" w:space="0" w:color="auto"/>
                        <w:left w:val="none" w:sz="0" w:space="0" w:color="auto"/>
                        <w:bottom w:val="none" w:sz="0" w:space="0" w:color="auto"/>
                        <w:right w:val="none" w:sz="0" w:space="0" w:color="auto"/>
                      </w:divBdr>
                    </w:div>
                  </w:divsChild>
                </w:div>
                <w:div w:id="2080904572">
                  <w:marLeft w:val="0"/>
                  <w:marRight w:val="0"/>
                  <w:marTop w:val="0"/>
                  <w:marBottom w:val="0"/>
                  <w:divBdr>
                    <w:top w:val="none" w:sz="0" w:space="0" w:color="auto"/>
                    <w:left w:val="none" w:sz="0" w:space="0" w:color="auto"/>
                    <w:bottom w:val="none" w:sz="0" w:space="0" w:color="auto"/>
                    <w:right w:val="none" w:sz="0" w:space="0" w:color="auto"/>
                  </w:divBdr>
                  <w:divsChild>
                    <w:div w:id="1573269978">
                      <w:marLeft w:val="0"/>
                      <w:marRight w:val="0"/>
                      <w:marTop w:val="0"/>
                      <w:marBottom w:val="0"/>
                      <w:divBdr>
                        <w:top w:val="none" w:sz="0" w:space="0" w:color="auto"/>
                        <w:left w:val="none" w:sz="0" w:space="0" w:color="auto"/>
                        <w:bottom w:val="none" w:sz="0" w:space="0" w:color="auto"/>
                        <w:right w:val="none" w:sz="0" w:space="0" w:color="auto"/>
                      </w:divBdr>
                    </w:div>
                  </w:divsChild>
                </w:div>
                <w:div w:id="866797744">
                  <w:marLeft w:val="0"/>
                  <w:marRight w:val="0"/>
                  <w:marTop w:val="0"/>
                  <w:marBottom w:val="0"/>
                  <w:divBdr>
                    <w:top w:val="none" w:sz="0" w:space="0" w:color="auto"/>
                    <w:left w:val="none" w:sz="0" w:space="0" w:color="auto"/>
                    <w:bottom w:val="none" w:sz="0" w:space="0" w:color="auto"/>
                    <w:right w:val="none" w:sz="0" w:space="0" w:color="auto"/>
                  </w:divBdr>
                  <w:divsChild>
                    <w:div w:id="1456951530">
                      <w:marLeft w:val="0"/>
                      <w:marRight w:val="0"/>
                      <w:marTop w:val="0"/>
                      <w:marBottom w:val="0"/>
                      <w:divBdr>
                        <w:top w:val="none" w:sz="0" w:space="0" w:color="auto"/>
                        <w:left w:val="none" w:sz="0" w:space="0" w:color="auto"/>
                        <w:bottom w:val="none" w:sz="0" w:space="0" w:color="auto"/>
                        <w:right w:val="none" w:sz="0" w:space="0" w:color="auto"/>
                      </w:divBdr>
                    </w:div>
                  </w:divsChild>
                </w:div>
                <w:div w:id="1435830546">
                  <w:marLeft w:val="0"/>
                  <w:marRight w:val="0"/>
                  <w:marTop w:val="0"/>
                  <w:marBottom w:val="0"/>
                  <w:divBdr>
                    <w:top w:val="none" w:sz="0" w:space="0" w:color="auto"/>
                    <w:left w:val="none" w:sz="0" w:space="0" w:color="auto"/>
                    <w:bottom w:val="none" w:sz="0" w:space="0" w:color="auto"/>
                    <w:right w:val="none" w:sz="0" w:space="0" w:color="auto"/>
                  </w:divBdr>
                  <w:divsChild>
                    <w:div w:id="43105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505017">
          <w:marLeft w:val="0"/>
          <w:marRight w:val="0"/>
          <w:marTop w:val="0"/>
          <w:marBottom w:val="0"/>
          <w:divBdr>
            <w:top w:val="none" w:sz="0" w:space="0" w:color="auto"/>
            <w:left w:val="none" w:sz="0" w:space="0" w:color="auto"/>
            <w:bottom w:val="none" w:sz="0" w:space="0" w:color="auto"/>
            <w:right w:val="none" w:sz="0" w:space="0" w:color="auto"/>
          </w:divBdr>
          <w:divsChild>
            <w:div w:id="536548124">
              <w:marLeft w:val="0"/>
              <w:marRight w:val="0"/>
              <w:marTop w:val="0"/>
              <w:marBottom w:val="0"/>
              <w:divBdr>
                <w:top w:val="none" w:sz="0" w:space="0" w:color="auto"/>
                <w:left w:val="none" w:sz="0" w:space="0" w:color="auto"/>
                <w:bottom w:val="none" w:sz="0" w:space="0" w:color="auto"/>
                <w:right w:val="none" w:sz="0" w:space="0" w:color="auto"/>
              </w:divBdr>
            </w:div>
            <w:div w:id="1821312561">
              <w:marLeft w:val="0"/>
              <w:marRight w:val="0"/>
              <w:marTop w:val="0"/>
              <w:marBottom w:val="0"/>
              <w:divBdr>
                <w:top w:val="none" w:sz="0" w:space="0" w:color="auto"/>
                <w:left w:val="none" w:sz="0" w:space="0" w:color="auto"/>
                <w:bottom w:val="none" w:sz="0" w:space="0" w:color="auto"/>
                <w:right w:val="none" w:sz="0" w:space="0" w:color="auto"/>
              </w:divBdr>
            </w:div>
            <w:div w:id="2075202122">
              <w:marLeft w:val="0"/>
              <w:marRight w:val="0"/>
              <w:marTop w:val="0"/>
              <w:marBottom w:val="0"/>
              <w:divBdr>
                <w:top w:val="none" w:sz="0" w:space="0" w:color="auto"/>
                <w:left w:val="none" w:sz="0" w:space="0" w:color="auto"/>
                <w:bottom w:val="none" w:sz="0" w:space="0" w:color="auto"/>
                <w:right w:val="none" w:sz="0" w:space="0" w:color="auto"/>
              </w:divBdr>
            </w:div>
            <w:div w:id="181093080">
              <w:marLeft w:val="0"/>
              <w:marRight w:val="0"/>
              <w:marTop w:val="0"/>
              <w:marBottom w:val="0"/>
              <w:divBdr>
                <w:top w:val="none" w:sz="0" w:space="0" w:color="auto"/>
                <w:left w:val="none" w:sz="0" w:space="0" w:color="auto"/>
                <w:bottom w:val="none" w:sz="0" w:space="0" w:color="auto"/>
                <w:right w:val="none" w:sz="0" w:space="0" w:color="auto"/>
              </w:divBdr>
            </w:div>
            <w:div w:id="865481955">
              <w:marLeft w:val="0"/>
              <w:marRight w:val="0"/>
              <w:marTop w:val="0"/>
              <w:marBottom w:val="0"/>
              <w:divBdr>
                <w:top w:val="none" w:sz="0" w:space="0" w:color="auto"/>
                <w:left w:val="none" w:sz="0" w:space="0" w:color="auto"/>
                <w:bottom w:val="none" w:sz="0" w:space="0" w:color="auto"/>
                <w:right w:val="none" w:sz="0" w:space="0" w:color="auto"/>
              </w:divBdr>
            </w:div>
            <w:div w:id="111368832">
              <w:marLeft w:val="0"/>
              <w:marRight w:val="0"/>
              <w:marTop w:val="0"/>
              <w:marBottom w:val="0"/>
              <w:divBdr>
                <w:top w:val="none" w:sz="0" w:space="0" w:color="auto"/>
                <w:left w:val="none" w:sz="0" w:space="0" w:color="auto"/>
                <w:bottom w:val="none" w:sz="0" w:space="0" w:color="auto"/>
                <w:right w:val="none" w:sz="0" w:space="0" w:color="auto"/>
              </w:divBdr>
            </w:div>
            <w:div w:id="2016414981">
              <w:marLeft w:val="0"/>
              <w:marRight w:val="0"/>
              <w:marTop w:val="0"/>
              <w:marBottom w:val="0"/>
              <w:divBdr>
                <w:top w:val="none" w:sz="0" w:space="0" w:color="auto"/>
                <w:left w:val="none" w:sz="0" w:space="0" w:color="auto"/>
                <w:bottom w:val="none" w:sz="0" w:space="0" w:color="auto"/>
                <w:right w:val="none" w:sz="0" w:space="0" w:color="auto"/>
              </w:divBdr>
            </w:div>
            <w:div w:id="8959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94876">
      <w:bodyDiv w:val="1"/>
      <w:marLeft w:val="0"/>
      <w:marRight w:val="0"/>
      <w:marTop w:val="0"/>
      <w:marBottom w:val="0"/>
      <w:divBdr>
        <w:top w:val="none" w:sz="0" w:space="0" w:color="auto"/>
        <w:left w:val="none" w:sz="0" w:space="0" w:color="auto"/>
        <w:bottom w:val="none" w:sz="0" w:space="0" w:color="auto"/>
        <w:right w:val="none" w:sz="0" w:space="0" w:color="auto"/>
      </w:divBdr>
    </w:div>
    <w:div w:id="495071625">
      <w:bodyDiv w:val="1"/>
      <w:marLeft w:val="0"/>
      <w:marRight w:val="0"/>
      <w:marTop w:val="0"/>
      <w:marBottom w:val="0"/>
      <w:divBdr>
        <w:top w:val="none" w:sz="0" w:space="0" w:color="auto"/>
        <w:left w:val="none" w:sz="0" w:space="0" w:color="auto"/>
        <w:bottom w:val="none" w:sz="0" w:space="0" w:color="auto"/>
        <w:right w:val="none" w:sz="0" w:space="0" w:color="auto"/>
      </w:divBdr>
      <w:divsChild>
        <w:div w:id="1204291755">
          <w:marLeft w:val="0"/>
          <w:marRight w:val="0"/>
          <w:marTop w:val="0"/>
          <w:marBottom w:val="0"/>
          <w:divBdr>
            <w:top w:val="none" w:sz="0" w:space="0" w:color="auto"/>
            <w:left w:val="none" w:sz="0" w:space="0" w:color="auto"/>
            <w:bottom w:val="none" w:sz="0" w:space="0" w:color="auto"/>
            <w:right w:val="none" w:sz="0" w:space="0" w:color="auto"/>
          </w:divBdr>
        </w:div>
      </w:divsChild>
    </w:div>
    <w:div w:id="657265006">
      <w:bodyDiv w:val="1"/>
      <w:marLeft w:val="0"/>
      <w:marRight w:val="0"/>
      <w:marTop w:val="0"/>
      <w:marBottom w:val="0"/>
      <w:divBdr>
        <w:top w:val="none" w:sz="0" w:space="0" w:color="auto"/>
        <w:left w:val="none" w:sz="0" w:space="0" w:color="auto"/>
        <w:bottom w:val="none" w:sz="0" w:space="0" w:color="auto"/>
        <w:right w:val="none" w:sz="0" w:space="0" w:color="auto"/>
      </w:divBdr>
    </w:div>
    <w:div w:id="888958428">
      <w:bodyDiv w:val="1"/>
      <w:marLeft w:val="0"/>
      <w:marRight w:val="0"/>
      <w:marTop w:val="0"/>
      <w:marBottom w:val="0"/>
      <w:divBdr>
        <w:top w:val="none" w:sz="0" w:space="0" w:color="auto"/>
        <w:left w:val="none" w:sz="0" w:space="0" w:color="auto"/>
        <w:bottom w:val="none" w:sz="0" w:space="0" w:color="auto"/>
        <w:right w:val="none" w:sz="0" w:space="0" w:color="auto"/>
      </w:divBdr>
    </w:div>
    <w:div w:id="1032458963">
      <w:bodyDiv w:val="1"/>
      <w:marLeft w:val="0"/>
      <w:marRight w:val="0"/>
      <w:marTop w:val="0"/>
      <w:marBottom w:val="0"/>
      <w:divBdr>
        <w:top w:val="none" w:sz="0" w:space="0" w:color="auto"/>
        <w:left w:val="none" w:sz="0" w:space="0" w:color="auto"/>
        <w:bottom w:val="none" w:sz="0" w:space="0" w:color="auto"/>
        <w:right w:val="none" w:sz="0" w:space="0" w:color="auto"/>
      </w:divBdr>
      <w:divsChild>
        <w:div w:id="2118716382">
          <w:marLeft w:val="0"/>
          <w:marRight w:val="0"/>
          <w:marTop w:val="0"/>
          <w:marBottom w:val="0"/>
          <w:divBdr>
            <w:top w:val="none" w:sz="0" w:space="0" w:color="auto"/>
            <w:left w:val="none" w:sz="0" w:space="0" w:color="auto"/>
            <w:bottom w:val="none" w:sz="0" w:space="0" w:color="auto"/>
            <w:right w:val="none" w:sz="0" w:space="0" w:color="auto"/>
          </w:divBdr>
        </w:div>
      </w:divsChild>
    </w:div>
    <w:div w:id="1040858890">
      <w:bodyDiv w:val="1"/>
      <w:marLeft w:val="0"/>
      <w:marRight w:val="0"/>
      <w:marTop w:val="0"/>
      <w:marBottom w:val="0"/>
      <w:divBdr>
        <w:top w:val="none" w:sz="0" w:space="0" w:color="auto"/>
        <w:left w:val="none" w:sz="0" w:space="0" w:color="auto"/>
        <w:bottom w:val="none" w:sz="0" w:space="0" w:color="auto"/>
        <w:right w:val="none" w:sz="0" w:space="0" w:color="auto"/>
      </w:divBdr>
      <w:divsChild>
        <w:div w:id="744717783">
          <w:marLeft w:val="0"/>
          <w:marRight w:val="0"/>
          <w:marTop w:val="0"/>
          <w:marBottom w:val="0"/>
          <w:divBdr>
            <w:top w:val="none" w:sz="0" w:space="0" w:color="auto"/>
            <w:left w:val="none" w:sz="0" w:space="0" w:color="auto"/>
            <w:bottom w:val="none" w:sz="0" w:space="0" w:color="auto"/>
            <w:right w:val="none" w:sz="0" w:space="0" w:color="auto"/>
          </w:divBdr>
        </w:div>
      </w:divsChild>
    </w:div>
    <w:div w:id="1055742251">
      <w:bodyDiv w:val="1"/>
      <w:marLeft w:val="0"/>
      <w:marRight w:val="0"/>
      <w:marTop w:val="0"/>
      <w:marBottom w:val="0"/>
      <w:divBdr>
        <w:top w:val="none" w:sz="0" w:space="0" w:color="auto"/>
        <w:left w:val="none" w:sz="0" w:space="0" w:color="auto"/>
        <w:bottom w:val="none" w:sz="0" w:space="0" w:color="auto"/>
        <w:right w:val="none" w:sz="0" w:space="0" w:color="auto"/>
      </w:divBdr>
      <w:divsChild>
        <w:div w:id="1143084368">
          <w:marLeft w:val="0"/>
          <w:marRight w:val="0"/>
          <w:marTop w:val="0"/>
          <w:marBottom w:val="0"/>
          <w:divBdr>
            <w:top w:val="none" w:sz="0" w:space="0" w:color="auto"/>
            <w:left w:val="none" w:sz="0" w:space="0" w:color="auto"/>
            <w:bottom w:val="none" w:sz="0" w:space="0" w:color="auto"/>
            <w:right w:val="none" w:sz="0" w:space="0" w:color="auto"/>
          </w:divBdr>
          <w:divsChild>
            <w:div w:id="15229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82738">
      <w:bodyDiv w:val="1"/>
      <w:marLeft w:val="0"/>
      <w:marRight w:val="0"/>
      <w:marTop w:val="0"/>
      <w:marBottom w:val="0"/>
      <w:divBdr>
        <w:top w:val="none" w:sz="0" w:space="0" w:color="auto"/>
        <w:left w:val="none" w:sz="0" w:space="0" w:color="auto"/>
        <w:bottom w:val="none" w:sz="0" w:space="0" w:color="auto"/>
        <w:right w:val="none" w:sz="0" w:space="0" w:color="auto"/>
      </w:divBdr>
      <w:divsChild>
        <w:div w:id="1132139712">
          <w:marLeft w:val="0"/>
          <w:marRight w:val="0"/>
          <w:marTop w:val="0"/>
          <w:marBottom w:val="0"/>
          <w:divBdr>
            <w:top w:val="none" w:sz="0" w:space="0" w:color="auto"/>
            <w:left w:val="none" w:sz="0" w:space="0" w:color="auto"/>
            <w:bottom w:val="none" w:sz="0" w:space="0" w:color="auto"/>
            <w:right w:val="none" w:sz="0" w:space="0" w:color="auto"/>
          </w:divBdr>
          <w:divsChild>
            <w:div w:id="893783806">
              <w:marLeft w:val="0"/>
              <w:marRight w:val="0"/>
              <w:marTop w:val="0"/>
              <w:marBottom w:val="0"/>
              <w:divBdr>
                <w:top w:val="none" w:sz="0" w:space="0" w:color="auto"/>
                <w:left w:val="none" w:sz="0" w:space="0" w:color="auto"/>
                <w:bottom w:val="none" w:sz="0" w:space="0" w:color="auto"/>
                <w:right w:val="none" w:sz="0" w:space="0" w:color="auto"/>
              </w:divBdr>
            </w:div>
          </w:divsChild>
        </w:div>
        <w:div w:id="441153528">
          <w:marLeft w:val="0"/>
          <w:marRight w:val="0"/>
          <w:marTop w:val="0"/>
          <w:marBottom w:val="0"/>
          <w:divBdr>
            <w:top w:val="none" w:sz="0" w:space="0" w:color="auto"/>
            <w:left w:val="none" w:sz="0" w:space="0" w:color="auto"/>
            <w:bottom w:val="none" w:sz="0" w:space="0" w:color="auto"/>
            <w:right w:val="none" w:sz="0" w:space="0" w:color="auto"/>
          </w:divBdr>
          <w:divsChild>
            <w:div w:id="230191696">
              <w:marLeft w:val="0"/>
              <w:marRight w:val="0"/>
              <w:marTop w:val="0"/>
              <w:marBottom w:val="0"/>
              <w:divBdr>
                <w:top w:val="none" w:sz="0" w:space="0" w:color="auto"/>
                <w:left w:val="none" w:sz="0" w:space="0" w:color="auto"/>
                <w:bottom w:val="none" w:sz="0" w:space="0" w:color="auto"/>
                <w:right w:val="none" w:sz="0" w:space="0" w:color="auto"/>
              </w:divBdr>
            </w:div>
          </w:divsChild>
        </w:div>
        <w:div w:id="1855799941">
          <w:marLeft w:val="0"/>
          <w:marRight w:val="0"/>
          <w:marTop w:val="0"/>
          <w:marBottom w:val="0"/>
          <w:divBdr>
            <w:top w:val="none" w:sz="0" w:space="0" w:color="auto"/>
            <w:left w:val="none" w:sz="0" w:space="0" w:color="auto"/>
            <w:bottom w:val="none" w:sz="0" w:space="0" w:color="auto"/>
            <w:right w:val="none" w:sz="0" w:space="0" w:color="auto"/>
          </w:divBdr>
          <w:divsChild>
            <w:div w:id="16589122">
              <w:marLeft w:val="0"/>
              <w:marRight w:val="0"/>
              <w:marTop w:val="0"/>
              <w:marBottom w:val="0"/>
              <w:divBdr>
                <w:top w:val="none" w:sz="0" w:space="0" w:color="auto"/>
                <w:left w:val="none" w:sz="0" w:space="0" w:color="auto"/>
                <w:bottom w:val="none" w:sz="0" w:space="0" w:color="auto"/>
                <w:right w:val="none" w:sz="0" w:space="0" w:color="auto"/>
              </w:divBdr>
            </w:div>
          </w:divsChild>
        </w:div>
        <w:div w:id="1058162259">
          <w:marLeft w:val="0"/>
          <w:marRight w:val="0"/>
          <w:marTop w:val="0"/>
          <w:marBottom w:val="0"/>
          <w:divBdr>
            <w:top w:val="none" w:sz="0" w:space="0" w:color="auto"/>
            <w:left w:val="none" w:sz="0" w:space="0" w:color="auto"/>
            <w:bottom w:val="none" w:sz="0" w:space="0" w:color="auto"/>
            <w:right w:val="none" w:sz="0" w:space="0" w:color="auto"/>
          </w:divBdr>
          <w:divsChild>
            <w:div w:id="340664257">
              <w:marLeft w:val="0"/>
              <w:marRight w:val="0"/>
              <w:marTop w:val="0"/>
              <w:marBottom w:val="0"/>
              <w:divBdr>
                <w:top w:val="none" w:sz="0" w:space="0" w:color="auto"/>
                <w:left w:val="none" w:sz="0" w:space="0" w:color="auto"/>
                <w:bottom w:val="none" w:sz="0" w:space="0" w:color="auto"/>
                <w:right w:val="none" w:sz="0" w:space="0" w:color="auto"/>
              </w:divBdr>
            </w:div>
          </w:divsChild>
        </w:div>
        <w:div w:id="1222981377">
          <w:marLeft w:val="0"/>
          <w:marRight w:val="0"/>
          <w:marTop w:val="0"/>
          <w:marBottom w:val="0"/>
          <w:divBdr>
            <w:top w:val="none" w:sz="0" w:space="0" w:color="auto"/>
            <w:left w:val="none" w:sz="0" w:space="0" w:color="auto"/>
            <w:bottom w:val="none" w:sz="0" w:space="0" w:color="auto"/>
            <w:right w:val="none" w:sz="0" w:space="0" w:color="auto"/>
          </w:divBdr>
          <w:divsChild>
            <w:div w:id="2008748132">
              <w:marLeft w:val="0"/>
              <w:marRight w:val="0"/>
              <w:marTop w:val="0"/>
              <w:marBottom w:val="0"/>
              <w:divBdr>
                <w:top w:val="none" w:sz="0" w:space="0" w:color="auto"/>
                <w:left w:val="none" w:sz="0" w:space="0" w:color="auto"/>
                <w:bottom w:val="none" w:sz="0" w:space="0" w:color="auto"/>
                <w:right w:val="none" w:sz="0" w:space="0" w:color="auto"/>
              </w:divBdr>
            </w:div>
          </w:divsChild>
        </w:div>
        <w:div w:id="989165066">
          <w:marLeft w:val="0"/>
          <w:marRight w:val="0"/>
          <w:marTop w:val="0"/>
          <w:marBottom w:val="0"/>
          <w:divBdr>
            <w:top w:val="none" w:sz="0" w:space="0" w:color="auto"/>
            <w:left w:val="none" w:sz="0" w:space="0" w:color="auto"/>
            <w:bottom w:val="none" w:sz="0" w:space="0" w:color="auto"/>
            <w:right w:val="none" w:sz="0" w:space="0" w:color="auto"/>
          </w:divBdr>
          <w:divsChild>
            <w:div w:id="831026039">
              <w:marLeft w:val="0"/>
              <w:marRight w:val="0"/>
              <w:marTop w:val="0"/>
              <w:marBottom w:val="0"/>
              <w:divBdr>
                <w:top w:val="none" w:sz="0" w:space="0" w:color="auto"/>
                <w:left w:val="none" w:sz="0" w:space="0" w:color="auto"/>
                <w:bottom w:val="none" w:sz="0" w:space="0" w:color="auto"/>
                <w:right w:val="none" w:sz="0" w:space="0" w:color="auto"/>
              </w:divBdr>
            </w:div>
          </w:divsChild>
        </w:div>
        <w:div w:id="607203229">
          <w:marLeft w:val="0"/>
          <w:marRight w:val="0"/>
          <w:marTop w:val="0"/>
          <w:marBottom w:val="0"/>
          <w:divBdr>
            <w:top w:val="none" w:sz="0" w:space="0" w:color="auto"/>
            <w:left w:val="none" w:sz="0" w:space="0" w:color="auto"/>
            <w:bottom w:val="none" w:sz="0" w:space="0" w:color="auto"/>
            <w:right w:val="none" w:sz="0" w:space="0" w:color="auto"/>
          </w:divBdr>
          <w:divsChild>
            <w:div w:id="2116292206">
              <w:marLeft w:val="0"/>
              <w:marRight w:val="0"/>
              <w:marTop w:val="0"/>
              <w:marBottom w:val="0"/>
              <w:divBdr>
                <w:top w:val="none" w:sz="0" w:space="0" w:color="auto"/>
                <w:left w:val="none" w:sz="0" w:space="0" w:color="auto"/>
                <w:bottom w:val="none" w:sz="0" w:space="0" w:color="auto"/>
                <w:right w:val="none" w:sz="0" w:space="0" w:color="auto"/>
              </w:divBdr>
            </w:div>
          </w:divsChild>
        </w:div>
        <w:div w:id="1723752051">
          <w:marLeft w:val="0"/>
          <w:marRight w:val="0"/>
          <w:marTop w:val="0"/>
          <w:marBottom w:val="0"/>
          <w:divBdr>
            <w:top w:val="none" w:sz="0" w:space="0" w:color="auto"/>
            <w:left w:val="none" w:sz="0" w:space="0" w:color="auto"/>
            <w:bottom w:val="none" w:sz="0" w:space="0" w:color="auto"/>
            <w:right w:val="none" w:sz="0" w:space="0" w:color="auto"/>
          </w:divBdr>
          <w:divsChild>
            <w:div w:id="939727293">
              <w:marLeft w:val="0"/>
              <w:marRight w:val="0"/>
              <w:marTop w:val="0"/>
              <w:marBottom w:val="0"/>
              <w:divBdr>
                <w:top w:val="none" w:sz="0" w:space="0" w:color="auto"/>
                <w:left w:val="none" w:sz="0" w:space="0" w:color="auto"/>
                <w:bottom w:val="none" w:sz="0" w:space="0" w:color="auto"/>
                <w:right w:val="none" w:sz="0" w:space="0" w:color="auto"/>
              </w:divBdr>
            </w:div>
          </w:divsChild>
        </w:div>
        <w:div w:id="739863460">
          <w:marLeft w:val="0"/>
          <w:marRight w:val="0"/>
          <w:marTop w:val="0"/>
          <w:marBottom w:val="0"/>
          <w:divBdr>
            <w:top w:val="none" w:sz="0" w:space="0" w:color="auto"/>
            <w:left w:val="none" w:sz="0" w:space="0" w:color="auto"/>
            <w:bottom w:val="none" w:sz="0" w:space="0" w:color="auto"/>
            <w:right w:val="none" w:sz="0" w:space="0" w:color="auto"/>
          </w:divBdr>
          <w:divsChild>
            <w:div w:id="283316273">
              <w:marLeft w:val="0"/>
              <w:marRight w:val="0"/>
              <w:marTop w:val="0"/>
              <w:marBottom w:val="0"/>
              <w:divBdr>
                <w:top w:val="none" w:sz="0" w:space="0" w:color="auto"/>
                <w:left w:val="none" w:sz="0" w:space="0" w:color="auto"/>
                <w:bottom w:val="none" w:sz="0" w:space="0" w:color="auto"/>
                <w:right w:val="none" w:sz="0" w:space="0" w:color="auto"/>
              </w:divBdr>
            </w:div>
          </w:divsChild>
        </w:div>
        <w:div w:id="1372917465">
          <w:marLeft w:val="0"/>
          <w:marRight w:val="0"/>
          <w:marTop w:val="0"/>
          <w:marBottom w:val="0"/>
          <w:divBdr>
            <w:top w:val="none" w:sz="0" w:space="0" w:color="auto"/>
            <w:left w:val="none" w:sz="0" w:space="0" w:color="auto"/>
            <w:bottom w:val="none" w:sz="0" w:space="0" w:color="auto"/>
            <w:right w:val="none" w:sz="0" w:space="0" w:color="auto"/>
          </w:divBdr>
          <w:divsChild>
            <w:div w:id="594096584">
              <w:marLeft w:val="0"/>
              <w:marRight w:val="0"/>
              <w:marTop w:val="0"/>
              <w:marBottom w:val="0"/>
              <w:divBdr>
                <w:top w:val="none" w:sz="0" w:space="0" w:color="auto"/>
                <w:left w:val="none" w:sz="0" w:space="0" w:color="auto"/>
                <w:bottom w:val="none" w:sz="0" w:space="0" w:color="auto"/>
                <w:right w:val="none" w:sz="0" w:space="0" w:color="auto"/>
              </w:divBdr>
            </w:div>
          </w:divsChild>
        </w:div>
        <w:div w:id="1100300132">
          <w:marLeft w:val="0"/>
          <w:marRight w:val="0"/>
          <w:marTop w:val="0"/>
          <w:marBottom w:val="0"/>
          <w:divBdr>
            <w:top w:val="none" w:sz="0" w:space="0" w:color="auto"/>
            <w:left w:val="none" w:sz="0" w:space="0" w:color="auto"/>
            <w:bottom w:val="none" w:sz="0" w:space="0" w:color="auto"/>
            <w:right w:val="none" w:sz="0" w:space="0" w:color="auto"/>
          </w:divBdr>
          <w:divsChild>
            <w:div w:id="803891719">
              <w:marLeft w:val="0"/>
              <w:marRight w:val="0"/>
              <w:marTop w:val="0"/>
              <w:marBottom w:val="0"/>
              <w:divBdr>
                <w:top w:val="none" w:sz="0" w:space="0" w:color="auto"/>
                <w:left w:val="none" w:sz="0" w:space="0" w:color="auto"/>
                <w:bottom w:val="none" w:sz="0" w:space="0" w:color="auto"/>
                <w:right w:val="none" w:sz="0" w:space="0" w:color="auto"/>
              </w:divBdr>
            </w:div>
          </w:divsChild>
        </w:div>
        <w:div w:id="1299648831">
          <w:marLeft w:val="0"/>
          <w:marRight w:val="0"/>
          <w:marTop w:val="0"/>
          <w:marBottom w:val="0"/>
          <w:divBdr>
            <w:top w:val="none" w:sz="0" w:space="0" w:color="auto"/>
            <w:left w:val="none" w:sz="0" w:space="0" w:color="auto"/>
            <w:bottom w:val="none" w:sz="0" w:space="0" w:color="auto"/>
            <w:right w:val="none" w:sz="0" w:space="0" w:color="auto"/>
          </w:divBdr>
          <w:divsChild>
            <w:div w:id="128714754">
              <w:marLeft w:val="0"/>
              <w:marRight w:val="0"/>
              <w:marTop w:val="0"/>
              <w:marBottom w:val="0"/>
              <w:divBdr>
                <w:top w:val="none" w:sz="0" w:space="0" w:color="auto"/>
                <w:left w:val="none" w:sz="0" w:space="0" w:color="auto"/>
                <w:bottom w:val="none" w:sz="0" w:space="0" w:color="auto"/>
                <w:right w:val="none" w:sz="0" w:space="0" w:color="auto"/>
              </w:divBdr>
            </w:div>
          </w:divsChild>
        </w:div>
        <w:div w:id="248083760">
          <w:marLeft w:val="0"/>
          <w:marRight w:val="0"/>
          <w:marTop w:val="0"/>
          <w:marBottom w:val="0"/>
          <w:divBdr>
            <w:top w:val="none" w:sz="0" w:space="0" w:color="auto"/>
            <w:left w:val="none" w:sz="0" w:space="0" w:color="auto"/>
            <w:bottom w:val="none" w:sz="0" w:space="0" w:color="auto"/>
            <w:right w:val="none" w:sz="0" w:space="0" w:color="auto"/>
          </w:divBdr>
          <w:divsChild>
            <w:div w:id="619995250">
              <w:marLeft w:val="0"/>
              <w:marRight w:val="0"/>
              <w:marTop w:val="0"/>
              <w:marBottom w:val="0"/>
              <w:divBdr>
                <w:top w:val="none" w:sz="0" w:space="0" w:color="auto"/>
                <w:left w:val="none" w:sz="0" w:space="0" w:color="auto"/>
                <w:bottom w:val="none" w:sz="0" w:space="0" w:color="auto"/>
                <w:right w:val="none" w:sz="0" w:space="0" w:color="auto"/>
              </w:divBdr>
            </w:div>
          </w:divsChild>
        </w:div>
        <w:div w:id="1830049651">
          <w:marLeft w:val="0"/>
          <w:marRight w:val="0"/>
          <w:marTop w:val="0"/>
          <w:marBottom w:val="0"/>
          <w:divBdr>
            <w:top w:val="none" w:sz="0" w:space="0" w:color="auto"/>
            <w:left w:val="none" w:sz="0" w:space="0" w:color="auto"/>
            <w:bottom w:val="none" w:sz="0" w:space="0" w:color="auto"/>
            <w:right w:val="none" w:sz="0" w:space="0" w:color="auto"/>
          </w:divBdr>
          <w:divsChild>
            <w:div w:id="1619138271">
              <w:marLeft w:val="0"/>
              <w:marRight w:val="0"/>
              <w:marTop w:val="0"/>
              <w:marBottom w:val="0"/>
              <w:divBdr>
                <w:top w:val="none" w:sz="0" w:space="0" w:color="auto"/>
                <w:left w:val="none" w:sz="0" w:space="0" w:color="auto"/>
                <w:bottom w:val="none" w:sz="0" w:space="0" w:color="auto"/>
                <w:right w:val="none" w:sz="0" w:space="0" w:color="auto"/>
              </w:divBdr>
            </w:div>
          </w:divsChild>
        </w:div>
        <w:div w:id="837042312">
          <w:marLeft w:val="0"/>
          <w:marRight w:val="0"/>
          <w:marTop w:val="0"/>
          <w:marBottom w:val="0"/>
          <w:divBdr>
            <w:top w:val="none" w:sz="0" w:space="0" w:color="auto"/>
            <w:left w:val="none" w:sz="0" w:space="0" w:color="auto"/>
            <w:bottom w:val="none" w:sz="0" w:space="0" w:color="auto"/>
            <w:right w:val="none" w:sz="0" w:space="0" w:color="auto"/>
          </w:divBdr>
          <w:divsChild>
            <w:div w:id="2146923139">
              <w:marLeft w:val="0"/>
              <w:marRight w:val="0"/>
              <w:marTop w:val="0"/>
              <w:marBottom w:val="0"/>
              <w:divBdr>
                <w:top w:val="none" w:sz="0" w:space="0" w:color="auto"/>
                <w:left w:val="none" w:sz="0" w:space="0" w:color="auto"/>
                <w:bottom w:val="none" w:sz="0" w:space="0" w:color="auto"/>
                <w:right w:val="none" w:sz="0" w:space="0" w:color="auto"/>
              </w:divBdr>
            </w:div>
          </w:divsChild>
        </w:div>
        <w:div w:id="767044296">
          <w:marLeft w:val="0"/>
          <w:marRight w:val="0"/>
          <w:marTop w:val="0"/>
          <w:marBottom w:val="0"/>
          <w:divBdr>
            <w:top w:val="none" w:sz="0" w:space="0" w:color="auto"/>
            <w:left w:val="none" w:sz="0" w:space="0" w:color="auto"/>
            <w:bottom w:val="none" w:sz="0" w:space="0" w:color="auto"/>
            <w:right w:val="none" w:sz="0" w:space="0" w:color="auto"/>
          </w:divBdr>
          <w:divsChild>
            <w:div w:id="816533267">
              <w:marLeft w:val="0"/>
              <w:marRight w:val="0"/>
              <w:marTop w:val="0"/>
              <w:marBottom w:val="0"/>
              <w:divBdr>
                <w:top w:val="none" w:sz="0" w:space="0" w:color="auto"/>
                <w:left w:val="none" w:sz="0" w:space="0" w:color="auto"/>
                <w:bottom w:val="none" w:sz="0" w:space="0" w:color="auto"/>
                <w:right w:val="none" w:sz="0" w:space="0" w:color="auto"/>
              </w:divBdr>
            </w:div>
          </w:divsChild>
        </w:div>
        <w:div w:id="48767011">
          <w:marLeft w:val="0"/>
          <w:marRight w:val="0"/>
          <w:marTop w:val="0"/>
          <w:marBottom w:val="0"/>
          <w:divBdr>
            <w:top w:val="none" w:sz="0" w:space="0" w:color="auto"/>
            <w:left w:val="none" w:sz="0" w:space="0" w:color="auto"/>
            <w:bottom w:val="none" w:sz="0" w:space="0" w:color="auto"/>
            <w:right w:val="none" w:sz="0" w:space="0" w:color="auto"/>
          </w:divBdr>
          <w:divsChild>
            <w:div w:id="1083602412">
              <w:marLeft w:val="0"/>
              <w:marRight w:val="0"/>
              <w:marTop w:val="0"/>
              <w:marBottom w:val="0"/>
              <w:divBdr>
                <w:top w:val="none" w:sz="0" w:space="0" w:color="auto"/>
                <w:left w:val="none" w:sz="0" w:space="0" w:color="auto"/>
                <w:bottom w:val="none" w:sz="0" w:space="0" w:color="auto"/>
                <w:right w:val="none" w:sz="0" w:space="0" w:color="auto"/>
              </w:divBdr>
            </w:div>
          </w:divsChild>
        </w:div>
        <w:div w:id="933513058">
          <w:marLeft w:val="0"/>
          <w:marRight w:val="0"/>
          <w:marTop w:val="0"/>
          <w:marBottom w:val="0"/>
          <w:divBdr>
            <w:top w:val="none" w:sz="0" w:space="0" w:color="auto"/>
            <w:left w:val="none" w:sz="0" w:space="0" w:color="auto"/>
            <w:bottom w:val="none" w:sz="0" w:space="0" w:color="auto"/>
            <w:right w:val="none" w:sz="0" w:space="0" w:color="auto"/>
          </w:divBdr>
          <w:divsChild>
            <w:div w:id="1709913633">
              <w:marLeft w:val="0"/>
              <w:marRight w:val="0"/>
              <w:marTop w:val="0"/>
              <w:marBottom w:val="0"/>
              <w:divBdr>
                <w:top w:val="none" w:sz="0" w:space="0" w:color="auto"/>
                <w:left w:val="none" w:sz="0" w:space="0" w:color="auto"/>
                <w:bottom w:val="none" w:sz="0" w:space="0" w:color="auto"/>
                <w:right w:val="none" w:sz="0" w:space="0" w:color="auto"/>
              </w:divBdr>
            </w:div>
          </w:divsChild>
        </w:div>
        <w:div w:id="1726104144">
          <w:marLeft w:val="0"/>
          <w:marRight w:val="0"/>
          <w:marTop w:val="0"/>
          <w:marBottom w:val="0"/>
          <w:divBdr>
            <w:top w:val="none" w:sz="0" w:space="0" w:color="auto"/>
            <w:left w:val="none" w:sz="0" w:space="0" w:color="auto"/>
            <w:bottom w:val="none" w:sz="0" w:space="0" w:color="auto"/>
            <w:right w:val="none" w:sz="0" w:space="0" w:color="auto"/>
          </w:divBdr>
          <w:divsChild>
            <w:div w:id="500511844">
              <w:marLeft w:val="0"/>
              <w:marRight w:val="0"/>
              <w:marTop w:val="0"/>
              <w:marBottom w:val="0"/>
              <w:divBdr>
                <w:top w:val="none" w:sz="0" w:space="0" w:color="auto"/>
                <w:left w:val="none" w:sz="0" w:space="0" w:color="auto"/>
                <w:bottom w:val="none" w:sz="0" w:space="0" w:color="auto"/>
                <w:right w:val="none" w:sz="0" w:space="0" w:color="auto"/>
              </w:divBdr>
            </w:div>
          </w:divsChild>
        </w:div>
        <w:div w:id="2084791657">
          <w:marLeft w:val="0"/>
          <w:marRight w:val="0"/>
          <w:marTop w:val="0"/>
          <w:marBottom w:val="0"/>
          <w:divBdr>
            <w:top w:val="none" w:sz="0" w:space="0" w:color="auto"/>
            <w:left w:val="none" w:sz="0" w:space="0" w:color="auto"/>
            <w:bottom w:val="none" w:sz="0" w:space="0" w:color="auto"/>
            <w:right w:val="none" w:sz="0" w:space="0" w:color="auto"/>
          </w:divBdr>
          <w:divsChild>
            <w:div w:id="142091253">
              <w:marLeft w:val="0"/>
              <w:marRight w:val="0"/>
              <w:marTop w:val="0"/>
              <w:marBottom w:val="0"/>
              <w:divBdr>
                <w:top w:val="none" w:sz="0" w:space="0" w:color="auto"/>
                <w:left w:val="none" w:sz="0" w:space="0" w:color="auto"/>
                <w:bottom w:val="none" w:sz="0" w:space="0" w:color="auto"/>
                <w:right w:val="none" w:sz="0" w:space="0" w:color="auto"/>
              </w:divBdr>
            </w:div>
          </w:divsChild>
        </w:div>
        <w:div w:id="869492873">
          <w:marLeft w:val="0"/>
          <w:marRight w:val="0"/>
          <w:marTop w:val="0"/>
          <w:marBottom w:val="0"/>
          <w:divBdr>
            <w:top w:val="none" w:sz="0" w:space="0" w:color="auto"/>
            <w:left w:val="none" w:sz="0" w:space="0" w:color="auto"/>
            <w:bottom w:val="none" w:sz="0" w:space="0" w:color="auto"/>
            <w:right w:val="none" w:sz="0" w:space="0" w:color="auto"/>
          </w:divBdr>
          <w:divsChild>
            <w:div w:id="77750820">
              <w:marLeft w:val="0"/>
              <w:marRight w:val="0"/>
              <w:marTop w:val="0"/>
              <w:marBottom w:val="0"/>
              <w:divBdr>
                <w:top w:val="none" w:sz="0" w:space="0" w:color="auto"/>
                <w:left w:val="none" w:sz="0" w:space="0" w:color="auto"/>
                <w:bottom w:val="none" w:sz="0" w:space="0" w:color="auto"/>
                <w:right w:val="none" w:sz="0" w:space="0" w:color="auto"/>
              </w:divBdr>
            </w:div>
          </w:divsChild>
        </w:div>
        <w:div w:id="1462766701">
          <w:marLeft w:val="0"/>
          <w:marRight w:val="0"/>
          <w:marTop w:val="0"/>
          <w:marBottom w:val="0"/>
          <w:divBdr>
            <w:top w:val="none" w:sz="0" w:space="0" w:color="auto"/>
            <w:left w:val="none" w:sz="0" w:space="0" w:color="auto"/>
            <w:bottom w:val="none" w:sz="0" w:space="0" w:color="auto"/>
            <w:right w:val="none" w:sz="0" w:space="0" w:color="auto"/>
          </w:divBdr>
          <w:divsChild>
            <w:div w:id="2096825680">
              <w:marLeft w:val="0"/>
              <w:marRight w:val="0"/>
              <w:marTop w:val="0"/>
              <w:marBottom w:val="0"/>
              <w:divBdr>
                <w:top w:val="none" w:sz="0" w:space="0" w:color="auto"/>
                <w:left w:val="none" w:sz="0" w:space="0" w:color="auto"/>
                <w:bottom w:val="none" w:sz="0" w:space="0" w:color="auto"/>
                <w:right w:val="none" w:sz="0" w:space="0" w:color="auto"/>
              </w:divBdr>
            </w:div>
          </w:divsChild>
        </w:div>
        <w:div w:id="1278174610">
          <w:marLeft w:val="0"/>
          <w:marRight w:val="0"/>
          <w:marTop w:val="0"/>
          <w:marBottom w:val="0"/>
          <w:divBdr>
            <w:top w:val="none" w:sz="0" w:space="0" w:color="auto"/>
            <w:left w:val="none" w:sz="0" w:space="0" w:color="auto"/>
            <w:bottom w:val="none" w:sz="0" w:space="0" w:color="auto"/>
            <w:right w:val="none" w:sz="0" w:space="0" w:color="auto"/>
          </w:divBdr>
          <w:divsChild>
            <w:div w:id="1313942900">
              <w:marLeft w:val="0"/>
              <w:marRight w:val="0"/>
              <w:marTop w:val="0"/>
              <w:marBottom w:val="0"/>
              <w:divBdr>
                <w:top w:val="none" w:sz="0" w:space="0" w:color="auto"/>
                <w:left w:val="none" w:sz="0" w:space="0" w:color="auto"/>
                <w:bottom w:val="none" w:sz="0" w:space="0" w:color="auto"/>
                <w:right w:val="none" w:sz="0" w:space="0" w:color="auto"/>
              </w:divBdr>
            </w:div>
          </w:divsChild>
        </w:div>
        <w:div w:id="1719163088">
          <w:marLeft w:val="0"/>
          <w:marRight w:val="0"/>
          <w:marTop w:val="0"/>
          <w:marBottom w:val="0"/>
          <w:divBdr>
            <w:top w:val="none" w:sz="0" w:space="0" w:color="auto"/>
            <w:left w:val="none" w:sz="0" w:space="0" w:color="auto"/>
            <w:bottom w:val="none" w:sz="0" w:space="0" w:color="auto"/>
            <w:right w:val="none" w:sz="0" w:space="0" w:color="auto"/>
          </w:divBdr>
          <w:divsChild>
            <w:div w:id="768157494">
              <w:marLeft w:val="0"/>
              <w:marRight w:val="0"/>
              <w:marTop w:val="0"/>
              <w:marBottom w:val="0"/>
              <w:divBdr>
                <w:top w:val="none" w:sz="0" w:space="0" w:color="auto"/>
                <w:left w:val="none" w:sz="0" w:space="0" w:color="auto"/>
                <w:bottom w:val="none" w:sz="0" w:space="0" w:color="auto"/>
                <w:right w:val="none" w:sz="0" w:space="0" w:color="auto"/>
              </w:divBdr>
            </w:div>
          </w:divsChild>
        </w:div>
        <w:div w:id="1823086160">
          <w:marLeft w:val="0"/>
          <w:marRight w:val="0"/>
          <w:marTop w:val="0"/>
          <w:marBottom w:val="0"/>
          <w:divBdr>
            <w:top w:val="none" w:sz="0" w:space="0" w:color="auto"/>
            <w:left w:val="none" w:sz="0" w:space="0" w:color="auto"/>
            <w:bottom w:val="none" w:sz="0" w:space="0" w:color="auto"/>
            <w:right w:val="none" w:sz="0" w:space="0" w:color="auto"/>
          </w:divBdr>
          <w:divsChild>
            <w:div w:id="1113745204">
              <w:marLeft w:val="0"/>
              <w:marRight w:val="0"/>
              <w:marTop w:val="0"/>
              <w:marBottom w:val="0"/>
              <w:divBdr>
                <w:top w:val="none" w:sz="0" w:space="0" w:color="auto"/>
                <w:left w:val="none" w:sz="0" w:space="0" w:color="auto"/>
                <w:bottom w:val="none" w:sz="0" w:space="0" w:color="auto"/>
                <w:right w:val="none" w:sz="0" w:space="0" w:color="auto"/>
              </w:divBdr>
            </w:div>
          </w:divsChild>
        </w:div>
        <w:div w:id="851453690">
          <w:marLeft w:val="0"/>
          <w:marRight w:val="0"/>
          <w:marTop w:val="0"/>
          <w:marBottom w:val="0"/>
          <w:divBdr>
            <w:top w:val="none" w:sz="0" w:space="0" w:color="auto"/>
            <w:left w:val="none" w:sz="0" w:space="0" w:color="auto"/>
            <w:bottom w:val="none" w:sz="0" w:space="0" w:color="auto"/>
            <w:right w:val="none" w:sz="0" w:space="0" w:color="auto"/>
          </w:divBdr>
          <w:divsChild>
            <w:div w:id="433476231">
              <w:marLeft w:val="0"/>
              <w:marRight w:val="0"/>
              <w:marTop w:val="0"/>
              <w:marBottom w:val="0"/>
              <w:divBdr>
                <w:top w:val="none" w:sz="0" w:space="0" w:color="auto"/>
                <w:left w:val="none" w:sz="0" w:space="0" w:color="auto"/>
                <w:bottom w:val="none" w:sz="0" w:space="0" w:color="auto"/>
                <w:right w:val="none" w:sz="0" w:space="0" w:color="auto"/>
              </w:divBdr>
            </w:div>
          </w:divsChild>
        </w:div>
        <w:div w:id="667828286">
          <w:marLeft w:val="0"/>
          <w:marRight w:val="0"/>
          <w:marTop w:val="0"/>
          <w:marBottom w:val="0"/>
          <w:divBdr>
            <w:top w:val="none" w:sz="0" w:space="0" w:color="auto"/>
            <w:left w:val="none" w:sz="0" w:space="0" w:color="auto"/>
            <w:bottom w:val="none" w:sz="0" w:space="0" w:color="auto"/>
            <w:right w:val="none" w:sz="0" w:space="0" w:color="auto"/>
          </w:divBdr>
          <w:divsChild>
            <w:div w:id="1763840172">
              <w:marLeft w:val="0"/>
              <w:marRight w:val="0"/>
              <w:marTop w:val="0"/>
              <w:marBottom w:val="0"/>
              <w:divBdr>
                <w:top w:val="none" w:sz="0" w:space="0" w:color="auto"/>
                <w:left w:val="none" w:sz="0" w:space="0" w:color="auto"/>
                <w:bottom w:val="none" w:sz="0" w:space="0" w:color="auto"/>
                <w:right w:val="none" w:sz="0" w:space="0" w:color="auto"/>
              </w:divBdr>
            </w:div>
          </w:divsChild>
        </w:div>
        <w:div w:id="23100798">
          <w:marLeft w:val="0"/>
          <w:marRight w:val="0"/>
          <w:marTop w:val="0"/>
          <w:marBottom w:val="0"/>
          <w:divBdr>
            <w:top w:val="none" w:sz="0" w:space="0" w:color="auto"/>
            <w:left w:val="none" w:sz="0" w:space="0" w:color="auto"/>
            <w:bottom w:val="none" w:sz="0" w:space="0" w:color="auto"/>
            <w:right w:val="none" w:sz="0" w:space="0" w:color="auto"/>
          </w:divBdr>
          <w:divsChild>
            <w:div w:id="364255107">
              <w:marLeft w:val="0"/>
              <w:marRight w:val="0"/>
              <w:marTop w:val="0"/>
              <w:marBottom w:val="0"/>
              <w:divBdr>
                <w:top w:val="none" w:sz="0" w:space="0" w:color="auto"/>
                <w:left w:val="none" w:sz="0" w:space="0" w:color="auto"/>
                <w:bottom w:val="none" w:sz="0" w:space="0" w:color="auto"/>
                <w:right w:val="none" w:sz="0" w:space="0" w:color="auto"/>
              </w:divBdr>
            </w:div>
          </w:divsChild>
        </w:div>
        <w:div w:id="646472575">
          <w:marLeft w:val="0"/>
          <w:marRight w:val="0"/>
          <w:marTop w:val="0"/>
          <w:marBottom w:val="0"/>
          <w:divBdr>
            <w:top w:val="none" w:sz="0" w:space="0" w:color="auto"/>
            <w:left w:val="none" w:sz="0" w:space="0" w:color="auto"/>
            <w:bottom w:val="none" w:sz="0" w:space="0" w:color="auto"/>
            <w:right w:val="none" w:sz="0" w:space="0" w:color="auto"/>
          </w:divBdr>
          <w:divsChild>
            <w:div w:id="2017803509">
              <w:marLeft w:val="0"/>
              <w:marRight w:val="0"/>
              <w:marTop w:val="0"/>
              <w:marBottom w:val="0"/>
              <w:divBdr>
                <w:top w:val="none" w:sz="0" w:space="0" w:color="auto"/>
                <w:left w:val="none" w:sz="0" w:space="0" w:color="auto"/>
                <w:bottom w:val="none" w:sz="0" w:space="0" w:color="auto"/>
                <w:right w:val="none" w:sz="0" w:space="0" w:color="auto"/>
              </w:divBdr>
            </w:div>
          </w:divsChild>
        </w:div>
        <w:div w:id="1885557569">
          <w:marLeft w:val="0"/>
          <w:marRight w:val="0"/>
          <w:marTop w:val="0"/>
          <w:marBottom w:val="0"/>
          <w:divBdr>
            <w:top w:val="none" w:sz="0" w:space="0" w:color="auto"/>
            <w:left w:val="none" w:sz="0" w:space="0" w:color="auto"/>
            <w:bottom w:val="none" w:sz="0" w:space="0" w:color="auto"/>
            <w:right w:val="none" w:sz="0" w:space="0" w:color="auto"/>
          </w:divBdr>
          <w:divsChild>
            <w:div w:id="327711916">
              <w:marLeft w:val="0"/>
              <w:marRight w:val="0"/>
              <w:marTop w:val="0"/>
              <w:marBottom w:val="0"/>
              <w:divBdr>
                <w:top w:val="none" w:sz="0" w:space="0" w:color="auto"/>
                <w:left w:val="none" w:sz="0" w:space="0" w:color="auto"/>
                <w:bottom w:val="none" w:sz="0" w:space="0" w:color="auto"/>
                <w:right w:val="none" w:sz="0" w:space="0" w:color="auto"/>
              </w:divBdr>
            </w:div>
          </w:divsChild>
        </w:div>
        <w:div w:id="2015262055">
          <w:marLeft w:val="0"/>
          <w:marRight w:val="0"/>
          <w:marTop w:val="0"/>
          <w:marBottom w:val="0"/>
          <w:divBdr>
            <w:top w:val="none" w:sz="0" w:space="0" w:color="auto"/>
            <w:left w:val="none" w:sz="0" w:space="0" w:color="auto"/>
            <w:bottom w:val="none" w:sz="0" w:space="0" w:color="auto"/>
            <w:right w:val="none" w:sz="0" w:space="0" w:color="auto"/>
          </w:divBdr>
          <w:divsChild>
            <w:div w:id="397434836">
              <w:marLeft w:val="0"/>
              <w:marRight w:val="0"/>
              <w:marTop w:val="0"/>
              <w:marBottom w:val="0"/>
              <w:divBdr>
                <w:top w:val="none" w:sz="0" w:space="0" w:color="auto"/>
                <w:left w:val="none" w:sz="0" w:space="0" w:color="auto"/>
                <w:bottom w:val="none" w:sz="0" w:space="0" w:color="auto"/>
                <w:right w:val="none" w:sz="0" w:space="0" w:color="auto"/>
              </w:divBdr>
            </w:div>
          </w:divsChild>
        </w:div>
        <w:div w:id="2115247884">
          <w:marLeft w:val="0"/>
          <w:marRight w:val="0"/>
          <w:marTop w:val="0"/>
          <w:marBottom w:val="0"/>
          <w:divBdr>
            <w:top w:val="none" w:sz="0" w:space="0" w:color="auto"/>
            <w:left w:val="none" w:sz="0" w:space="0" w:color="auto"/>
            <w:bottom w:val="none" w:sz="0" w:space="0" w:color="auto"/>
            <w:right w:val="none" w:sz="0" w:space="0" w:color="auto"/>
          </w:divBdr>
          <w:divsChild>
            <w:div w:id="314260294">
              <w:marLeft w:val="0"/>
              <w:marRight w:val="0"/>
              <w:marTop w:val="0"/>
              <w:marBottom w:val="0"/>
              <w:divBdr>
                <w:top w:val="none" w:sz="0" w:space="0" w:color="auto"/>
                <w:left w:val="none" w:sz="0" w:space="0" w:color="auto"/>
                <w:bottom w:val="none" w:sz="0" w:space="0" w:color="auto"/>
                <w:right w:val="none" w:sz="0" w:space="0" w:color="auto"/>
              </w:divBdr>
            </w:div>
          </w:divsChild>
        </w:div>
        <w:div w:id="1415007921">
          <w:marLeft w:val="0"/>
          <w:marRight w:val="0"/>
          <w:marTop w:val="0"/>
          <w:marBottom w:val="0"/>
          <w:divBdr>
            <w:top w:val="none" w:sz="0" w:space="0" w:color="auto"/>
            <w:left w:val="none" w:sz="0" w:space="0" w:color="auto"/>
            <w:bottom w:val="none" w:sz="0" w:space="0" w:color="auto"/>
            <w:right w:val="none" w:sz="0" w:space="0" w:color="auto"/>
          </w:divBdr>
          <w:divsChild>
            <w:div w:id="638342175">
              <w:marLeft w:val="0"/>
              <w:marRight w:val="0"/>
              <w:marTop w:val="0"/>
              <w:marBottom w:val="0"/>
              <w:divBdr>
                <w:top w:val="none" w:sz="0" w:space="0" w:color="auto"/>
                <w:left w:val="none" w:sz="0" w:space="0" w:color="auto"/>
                <w:bottom w:val="none" w:sz="0" w:space="0" w:color="auto"/>
                <w:right w:val="none" w:sz="0" w:space="0" w:color="auto"/>
              </w:divBdr>
            </w:div>
          </w:divsChild>
        </w:div>
        <w:div w:id="1028484946">
          <w:marLeft w:val="0"/>
          <w:marRight w:val="0"/>
          <w:marTop w:val="0"/>
          <w:marBottom w:val="0"/>
          <w:divBdr>
            <w:top w:val="none" w:sz="0" w:space="0" w:color="auto"/>
            <w:left w:val="none" w:sz="0" w:space="0" w:color="auto"/>
            <w:bottom w:val="none" w:sz="0" w:space="0" w:color="auto"/>
            <w:right w:val="none" w:sz="0" w:space="0" w:color="auto"/>
          </w:divBdr>
          <w:divsChild>
            <w:div w:id="2094207352">
              <w:marLeft w:val="0"/>
              <w:marRight w:val="0"/>
              <w:marTop w:val="0"/>
              <w:marBottom w:val="0"/>
              <w:divBdr>
                <w:top w:val="none" w:sz="0" w:space="0" w:color="auto"/>
                <w:left w:val="none" w:sz="0" w:space="0" w:color="auto"/>
                <w:bottom w:val="none" w:sz="0" w:space="0" w:color="auto"/>
                <w:right w:val="none" w:sz="0" w:space="0" w:color="auto"/>
              </w:divBdr>
            </w:div>
          </w:divsChild>
        </w:div>
        <w:div w:id="399330282">
          <w:marLeft w:val="0"/>
          <w:marRight w:val="0"/>
          <w:marTop w:val="0"/>
          <w:marBottom w:val="0"/>
          <w:divBdr>
            <w:top w:val="none" w:sz="0" w:space="0" w:color="auto"/>
            <w:left w:val="none" w:sz="0" w:space="0" w:color="auto"/>
            <w:bottom w:val="none" w:sz="0" w:space="0" w:color="auto"/>
            <w:right w:val="none" w:sz="0" w:space="0" w:color="auto"/>
          </w:divBdr>
          <w:divsChild>
            <w:div w:id="1342973932">
              <w:marLeft w:val="0"/>
              <w:marRight w:val="0"/>
              <w:marTop w:val="0"/>
              <w:marBottom w:val="0"/>
              <w:divBdr>
                <w:top w:val="none" w:sz="0" w:space="0" w:color="auto"/>
                <w:left w:val="none" w:sz="0" w:space="0" w:color="auto"/>
                <w:bottom w:val="none" w:sz="0" w:space="0" w:color="auto"/>
                <w:right w:val="none" w:sz="0" w:space="0" w:color="auto"/>
              </w:divBdr>
            </w:div>
          </w:divsChild>
        </w:div>
        <w:div w:id="1302153096">
          <w:marLeft w:val="0"/>
          <w:marRight w:val="0"/>
          <w:marTop w:val="0"/>
          <w:marBottom w:val="0"/>
          <w:divBdr>
            <w:top w:val="none" w:sz="0" w:space="0" w:color="auto"/>
            <w:left w:val="none" w:sz="0" w:space="0" w:color="auto"/>
            <w:bottom w:val="none" w:sz="0" w:space="0" w:color="auto"/>
            <w:right w:val="none" w:sz="0" w:space="0" w:color="auto"/>
          </w:divBdr>
          <w:divsChild>
            <w:div w:id="1808400463">
              <w:marLeft w:val="0"/>
              <w:marRight w:val="0"/>
              <w:marTop w:val="0"/>
              <w:marBottom w:val="0"/>
              <w:divBdr>
                <w:top w:val="none" w:sz="0" w:space="0" w:color="auto"/>
                <w:left w:val="none" w:sz="0" w:space="0" w:color="auto"/>
                <w:bottom w:val="none" w:sz="0" w:space="0" w:color="auto"/>
                <w:right w:val="none" w:sz="0" w:space="0" w:color="auto"/>
              </w:divBdr>
            </w:div>
          </w:divsChild>
        </w:div>
        <w:div w:id="1403941651">
          <w:marLeft w:val="0"/>
          <w:marRight w:val="0"/>
          <w:marTop w:val="0"/>
          <w:marBottom w:val="0"/>
          <w:divBdr>
            <w:top w:val="none" w:sz="0" w:space="0" w:color="auto"/>
            <w:left w:val="none" w:sz="0" w:space="0" w:color="auto"/>
            <w:bottom w:val="none" w:sz="0" w:space="0" w:color="auto"/>
            <w:right w:val="none" w:sz="0" w:space="0" w:color="auto"/>
          </w:divBdr>
          <w:divsChild>
            <w:div w:id="1550140836">
              <w:marLeft w:val="0"/>
              <w:marRight w:val="0"/>
              <w:marTop w:val="0"/>
              <w:marBottom w:val="0"/>
              <w:divBdr>
                <w:top w:val="none" w:sz="0" w:space="0" w:color="auto"/>
                <w:left w:val="none" w:sz="0" w:space="0" w:color="auto"/>
                <w:bottom w:val="none" w:sz="0" w:space="0" w:color="auto"/>
                <w:right w:val="none" w:sz="0" w:space="0" w:color="auto"/>
              </w:divBdr>
            </w:div>
          </w:divsChild>
        </w:div>
        <w:div w:id="578712698">
          <w:marLeft w:val="0"/>
          <w:marRight w:val="0"/>
          <w:marTop w:val="0"/>
          <w:marBottom w:val="0"/>
          <w:divBdr>
            <w:top w:val="none" w:sz="0" w:space="0" w:color="auto"/>
            <w:left w:val="none" w:sz="0" w:space="0" w:color="auto"/>
            <w:bottom w:val="none" w:sz="0" w:space="0" w:color="auto"/>
            <w:right w:val="none" w:sz="0" w:space="0" w:color="auto"/>
          </w:divBdr>
          <w:divsChild>
            <w:div w:id="981078201">
              <w:marLeft w:val="0"/>
              <w:marRight w:val="0"/>
              <w:marTop w:val="0"/>
              <w:marBottom w:val="0"/>
              <w:divBdr>
                <w:top w:val="none" w:sz="0" w:space="0" w:color="auto"/>
                <w:left w:val="none" w:sz="0" w:space="0" w:color="auto"/>
                <w:bottom w:val="none" w:sz="0" w:space="0" w:color="auto"/>
                <w:right w:val="none" w:sz="0" w:space="0" w:color="auto"/>
              </w:divBdr>
            </w:div>
          </w:divsChild>
        </w:div>
        <w:div w:id="1674993383">
          <w:marLeft w:val="0"/>
          <w:marRight w:val="0"/>
          <w:marTop w:val="0"/>
          <w:marBottom w:val="0"/>
          <w:divBdr>
            <w:top w:val="none" w:sz="0" w:space="0" w:color="auto"/>
            <w:left w:val="none" w:sz="0" w:space="0" w:color="auto"/>
            <w:bottom w:val="none" w:sz="0" w:space="0" w:color="auto"/>
            <w:right w:val="none" w:sz="0" w:space="0" w:color="auto"/>
          </w:divBdr>
          <w:divsChild>
            <w:div w:id="479929089">
              <w:marLeft w:val="0"/>
              <w:marRight w:val="0"/>
              <w:marTop w:val="0"/>
              <w:marBottom w:val="0"/>
              <w:divBdr>
                <w:top w:val="none" w:sz="0" w:space="0" w:color="auto"/>
                <w:left w:val="none" w:sz="0" w:space="0" w:color="auto"/>
                <w:bottom w:val="none" w:sz="0" w:space="0" w:color="auto"/>
                <w:right w:val="none" w:sz="0" w:space="0" w:color="auto"/>
              </w:divBdr>
            </w:div>
          </w:divsChild>
        </w:div>
        <w:div w:id="1613710439">
          <w:marLeft w:val="0"/>
          <w:marRight w:val="0"/>
          <w:marTop w:val="0"/>
          <w:marBottom w:val="0"/>
          <w:divBdr>
            <w:top w:val="none" w:sz="0" w:space="0" w:color="auto"/>
            <w:left w:val="none" w:sz="0" w:space="0" w:color="auto"/>
            <w:bottom w:val="none" w:sz="0" w:space="0" w:color="auto"/>
            <w:right w:val="none" w:sz="0" w:space="0" w:color="auto"/>
          </w:divBdr>
          <w:divsChild>
            <w:div w:id="1671640230">
              <w:marLeft w:val="0"/>
              <w:marRight w:val="0"/>
              <w:marTop w:val="0"/>
              <w:marBottom w:val="0"/>
              <w:divBdr>
                <w:top w:val="none" w:sz="0" w:space="0" w:color="auto"/>
                <w:left w:val="none" w:sz="0" w:space="0" w:color="auto"/>
                <w:bottom w:val="none" w:sz="0" w:space="0" w:color="auto"/>
                <w:right w:val="none" w:sz="0" w:space="0" w:color="auto"/>
              </w:divBdr>
            </w:div>
          </w:divsChild>
        </w:div>
        <w:div w:id="68888068">
          <w:marLeft w:val="0"/>
          <w:marRight w:val="0"/>
          <w:marTop w:val="0"/>
          <w:marBottom w:val="0"/>
          <w:divBdr>
            <w:top w:val="none" w:sz="0" w:space="0" w:color="auto"/>
            <w:left w:val="none" w:sz="0" w:space="0" w:color="auto"/>
            <w:bottom w:val="none" w:sz="0" w:space="0" w:color="auto"/>
            <w:right w:val="none" w:sz="0" w:space="0" w:color="auto"/>
          </w:divBdr>
          <w:divsChild>
            <w:div w:id="1064066625">
              <w:marLeft w:val="0"/>
              <w:marRight w:val="0"/>
              <w:marTop w:val="0"/>
              <w:marBottom w:val="0"/>
              <w:divBdr>
                <w:top w:val="none" w:sz="0" w:space="0" w:color="auto"/>
                <w:left w:val="none" w:sz="0" w:space="0" w:color="auto"/>
                <w:bottom w:val="none" w:sz="0" w:space="0" w:color="auto"/>
                <w:right w:val="none" w:sz="0" w:space="0" w:color="auto"/>
              </w:divBdr>
            </w:div>
          </w:divsChild>
        </w:div>
        <w:div w:id="1245795357">
          <w:marLeft w:val="0"/>
          <w:marRight w:val="0"/>
          <w:marTop w:val="0"/>
          <w:marBottom w:val="0"/>
          <w:divBdr>
            <w:top w:val="none" w:sz="0" w:space="0" w:color="auto"/>
            <w:left w:val="none" w:sz="0" w:space="0" w:color="auto"/>
            <w:bottom w:val="none" w:sz="0" w:space="0" w:color="auto"/>
            <w:right w:val="none" w:sz="0" w:space="0" w:color="auto"/>
          </w:divBdr>
          <w:divsChild>
            <w:div w:id="1819103153">
              <w:marLeft w:val="0"/>
              <w:marRight w:val="0"/>
              <w:marTop w:val="0"/>
              <w:marBottom w:val="0"/>
              <w:divBdr>
                <w:top w:val="none" w:sz="0" w:space="0" w:color="auto"/>
                <w:left w:val="none" w:sz="0" w:space="0" w:color="auto"/>
                <w:bottom w:val="none" w:sz="0" w:space="0" w:color="auto"/>
                <w:right w:val="none" w:sz="0" w:space="0" w:color="auto"/>
              </w:divBdr>
            </w:div>
          </w:divsChild>
        </w:div>
        <w:div w:id="969359107">
          <w:marLeft w:val="0"/>
          <w:marRight w:val="0"/>
          <w:marTop w:val="0"/>
          <w:marBottom w:val="0"/>
          <w:divBdr>
            <w:top w:val="none" w:sz="0" w:space="0" w:color="auto"/>
            <w:left w:val="none" w:sz="0" w:space="0" w:color="auto"/>
            <w:bottom w:val="none" w:sz="0" w:space="0" w:color="auto"/>
            <w:right w:val="none" w:sz="0" w:space="0" w:color="auto"/>
          </w:divBdr>
          <w:divsChild>
            <w:div w:id="2112965505">
              <w:marLeft w:val="0"/>
              <w:marRight w:val="0"/>
              <w:marTop w:val="0"/>
              <w:marBottom w:val="0"/>
              <w:divBdr>
                <w:top w:val="none" w:sz="0" w:space="0" w:color="auto"/>
                <w:left w:val="none" w:sz="0" w:space="0" w:color="auto"/>
                <w:bottom w:val="none" w:sz="0" w:space="0" w:color="auto"/>
                <w:right w:val="none" w:sz="0" w:space="0" w:color="auto"/>
              </w:divBdr>
            </w:div>
          </w:divsChild>
        </w:div>
        <w:div w:id="898248336">
          <w:marLeft w:val="0"/>
          <w:marRight w:val="0"/>
          <w:marTop w:val="0"/>
          <w:marBottom w:val="0"/>
          <w:divBdr>
            <w:top w:val="none" w:sz="0" w:space="0" w:color="auto"/>
            <w:left w:val="none" w:sz="0" w:space="0" w:color="auto"/>
            <w:bottom w:val="none" w:sz="0" w:space="0" w:color="auto"/>
            <w:right w:val="none" w:sz="0" w:space="0" w:color="auto"/>
          </w:divBdr>
          <w:divsChild>
            <w:div w:id="1788810576">
              <w:marLeft w:val="0"/>
              <w:marRight w:val="0"/>
              <w:marTop w:val="0"/>
              <w:marBottom w:val="0"/>
              <w:divBdr>
                <w:top w:val="none" w:sz="0" w:space="0" w:color="auto"/>
                <w:left w:val="none" w:sz="0" w:space="0" w:color="auto"/>
                <w:bottom w:val="none" w:sz="0" w:space="0" w:color="auto"/>
                <w:right w:val="none" w:sz="0" w:space="0" w:color="auto"/>
              </w:divBdr>
            </w:div>
          </w:divsChild>
        </w:div>
        <w:div w:id="1085808450">
          <w:marLeft w:val="0"/>
          <w:marRight w:val="0"/>
          <w:marTop w:val="0"/>
          <w:marBottom w:val="0"/>
          <w:divBdr>
            <w:top w:val="none" w:sz="0" w:space="0" w:color="auto"/>
            <w:left w:val="none" w:sz="0" w:space="0" w:color="auto"/>
            <w:bottom w:val="none" w:sz="0" w:space="0" w:color="auto"/>
            <w:right w:val="none" w:sz="0" w:space="0" w:color="auto"/>
          </w:divBdr>
          <w:divsChild>
            <w:div w:id="1869027975">
              <w:marLeft w:val="0"/>
              <w:marRight w:val="0"/>
              <w:marTop w:val="0"/>
              <w:marBottom w:val="0"/>
              <w:divBdr>
                <w:top w:val="none" w:sz="0" w:space="0" w:color="auto"/>
                <w:left w:val="none" w:sz="0" w:space="0" w:color="auto"/>
                <w:bottom w:val="none" w:sz="0" w:space="0" w:color="auto"/>
                <w:right w:val="none" w:sz="0" w:space="0" w:color="auto"/>
              </w:divBdr>
            </w:div>
          </w:divsChild>
        </w:div>
        <w:div w:id="574126856">
          <w:marLeft w:val="0"/>
          <w:marRight w:val="0"/>
          <w:marTop w:val="0"/>
          <w:marBottom w:val="0"/>
          <w:divBdr>
            <w:top w:val="none" w:sz="0" w:space="0" w:color="auto"/>
            <w:left w:val="none" w:sz="0" w:space="0" w:color="auto"/>
            <w:bottom w:val="none" w:sz="0" w:space="0" w:color="auto"/>
            <w:right w:val="none" w:sz="0" w:space="0" w:color="auto"/>
          </w:divBdr>
          <w:divsChild>
            <w:div w:id="831723699">
              <w:marLeft w:val="0"/>
              <w:marRight w:val="0"/>
              <w:marTop w:val="0"/>
              <w:marBottom w:val="0"/>
              <w:divBdr>
                <w:top w:val="none" w:sz="0" w:space="0" w:color="auto"/>
                <w:left w:val="none" w:sz="0" w:space="0" w:color="auto"/>
                <w:bottom w:val="none" w:sz="0" w:space="0" w:color="auto"/>
                <w:right w:val="none" w:sz="0" w:space="0" w:color="auto"/>
              </w:divBdr>
            </w:div>
          </w:divsChild>
        </w:div>
        <w:div w:id="267584259">
          <w:marLeft w:val="0"/>
          <w:marRight w:val="0"/>
          <w:marTop w:val="0"/>
          <w:marBottom w:val="0"/>
          <w:divBdr>
            <w:top w:val="none" w:sz="0" w:space="0" w:color="auto"/>
            <w:left w:val="none" w:sz="0" w:space="0" w:color="auto"/>
            <w:bottom w:val="none" w:sz="0" w:space="0" w:color="auto"/>
            <w:right w:val="none" w:sz="0" w:space="0" w:color="auto"/>
          </w:divBdr>
          <w:divsChild>
            <w:div w:id="195319090">
              <w:marLeft w:val="0"/>
              <w:marRight w:val="0"/>
              <w:marTop w:val="0"/>
              <w:marBottom w:val="0"/>
              <w:divBdr>
                <w:top w:val="none" w:sz="0" w:space="0" w:color="auto"/>
                <w:left w:val="none" w:sz="0" w:space="0" w:color="auto"/>
                <w:bottom w:val="none" w:sz="0" w:space="0" w:color="auto"/>
                <w:right w:val="none" w:sz="0" w:space="0" w:color="auto"/>
              </w:divBdr>
            </w:div>
          </w:divsChild>
        </w:div>
        <w:div w:id="913202770">
          <w:marLeft w:val="0"/>
          <w:marRight w:val="0"/>
          <w:marTop w:val="0"/>
          <w:marBottom w:val="0"/>
          <w:divBdr>
            <w:top w:val="none" w:sz="0" w:space="0" w:color="auto"/>
            <w:left w:val="none" w:sz="0" w:space="0" w:color="auto"/>
            <w:bottom w:val="none" w:sz="0" w:space="0" w:color="auto"/>
            <w:right w:val="none" w:sz="0" w:space="0" w:color="auto"/>
          </w:divBdr>
          <w:divsChild>
            <w:div w:id="345909649">
              <w:marLeft w:val="0"/>
              <w:marRight w:val="0"/>
              <w:marTop w:val="0"/>
              <w:marBottom w:val="0"/>
              <w:divBdr>
                <w:top w:val="none" w:sz="0" w:space="0" w:color="auto"/>
                <w:left w:val="none" w:sz="0" w:space="0" w:color="auto"/>
                <w:bottom w:val="none" w:sz="0" w:space="0" w:color="auto"/>
                <w:right w:val="none" w:sz="0" w:space="0" w:color="auto"/>
              </w:divBdr>
            </w:div>
          </w:divsChild>
        </w:div>
        <w:div w:id="791630563">
          <w:marLeft w:val="0"/>
          <w:marRight w:val="0"/>
          <w:marTop w:val="0"/>
          <w:marBottom w:val="0"/>
          <w:divBdr>
            <w:top w:val="none" w:sz="0" w:space="0" w:color="auto"/>
            <w:left w:val="none" w:sz="0" w:space="0" w:color="auto"/>
            <w:bottom w:val="none" w:sz="0" w:space="0" w:color="auto"/>
            <w:right w:val="none" w:sz="0" w:space="0" w:color="auto"/>
          </w:divBdr>
          <w:divsChild>
            <w:div w:id="406608346">
              <w:marLeft w:val="0"/>
              <w:marRight w:val="0"/>
              <w:marTop w:val="0"/>
              <w:marBottom w:val="0"/>
              <w:divBdr>
                <w:top w:val="none" w:sz="0" w:space="0" w:color="auto"/>
                <w:left w:val="none" w:sz="0" w:space="0" w:color="auto"/>
                <w:bottom w:val="none" w:sz="0" w:space="0" w:color="auto"/>
                <w:right w:val="none" w:sz="0" w:space="0" w:color="auto"/>
              </w:divBdr>
            </w:div>
          </w:divsChild>
        </w:div>
        <w:div w:id="1181623433">
          <w:marLeft w:val="0"/>
          <w:marRight w:val="0"/>
          <w:marTop w:val="0"/>
          <w:marBottom w:val="0"/>
          <w:divBdr>
            <w:top w:val="none" w:sz="0" w:space="0" w:color="auto"/>
            <w:left w:val="none" w:sz="0" w:space="0" w:color="auto"/>
            <w:bottom w:val="none" w:sz="0" w:space="0" w:color="auto"/>
            <w:right w:val="none" w:sz="0" w:space="0" w:color="auto"/>
          </w:divBdr>
          <w:divsChild>
            <w:div w:id="2075076933">
              <w:marLeft w:val="0"/>
              <w:marRight w:val="0"/>
              <w:marTop w:val="0"/>
              <w:marBottom w:val="0"/>
              <w:divBdr>
                <w:top w:val="none" w:sz="0" w:space="0" w:color="auto"/>
                <w:left w:val="none" w:sz="0" w:space="0" w:color="auto"/>
                <w:bottom w:val="none" w:sz="0" w:space="0" w:color="auto"/>
                <w:right w:val="none" w:sz="0" w:space="0" w:color="auto"/>
              </w:divBdr>
            </w:div>
          </w:divsChild>
        </w:div>
        <w:div w:id="1680234031">
          <w:marLeft w:val="0"/>
          <w:marRight w:val="0"/>
          <w:marTop w:val="0"/>
          <w:marBottom w:val="0"/>
          <w:divBdr>
            <w:top w:val="none" w:sz="0" w:space="0" w:color="auto"/>
            <w:left w:val="none" w:sz="0" w:space="0" w:color="auto"/>
            <w:bottom w:val="none" w:sz="0" w:space="0" w:color="auto"/>
            <w:right w:val="none" w:sz="0" w:space="0" w:color="auto"/>
          </w:divBdr>
          <w:divsChild>
            <w:div w:id="692269893">
              <w:marLeft w:val="0"/>
              <w:marRight w:val="0"/>
              <w:marTop w:val="0"/>
              <w:marBottom w:val="0"/>
              <w:divBdr>
                <w:top w:val="none" w:sz="0" w:space="0" w:color="auto"/>
                <w:left w:val="none" w:sz="0" w:space="0" w:color="auto"/>
                <w:bottom w:val="none" w:sz="0" w:space="0" w:color="auto"/>
                <w:right w:val="none" w:sz="0" w:space="0" w:color="auto"/>
              </w:divBdr>
            </w:div>
          </w:divsChild>
        </w:div>
        <w:div w:id="1565095516">
          <w:marLeft w:val="0"/>
          <w:marRight w:val="0"/>
          <w:marTop w:val="0"/>
          <w:marBottom w:val="0"/>
          <w:divBdr>
            <w:top w:val="none" w:sz="0" w:space="0" w:color="auto"/>
            <w:left w:val="none" w:sz="0" w:space="0" w:color="auto"/>
            <w:bottom w:val="none" w:sz="0" w:space="0" w:color="auto"/>
            <w:right w:val="none" w:sz="0" w:space="0" w:color="auto"/>
          </w:divBdr>
          <w:divsChild>
            <w:div w:id="1587349814">
              <w:marLeft w:val="0"/>
              <w:marRight w:val="0"/>
              <w:marTop w:val="0"/>
              <w:marBottom w:val="0"/>
              <w:divBdr>
                <w:top w:val="none" w:sz="0" w:space="0" w:color="auto"/>
                <w:left w:val="none" w:sz="0" w:space="0" w:color="auto"/>
                <w:bottom w:val="none" w:sz="0" w:space="0" w:color="auto"/>
                <w:right w:val="none" w:sz="0" w:space="0" w:color="auto"/>
              </w:divBdr>
            </w:div>
          </w:divsChild>
        </w:div>
        <w:div w:id="1683780494">
          <w:marLeft w:val="0"/>
          <w:marRight w:val="0"/>
          <w:marTop w:val="0"/>
          <w:marBottom w:val="0"/>
          <w:divBdr>
            <w:top w:val="none" w:sz="0" w:space="0" w:color="auto"/>
            <w:left w:val="none" w:sz="0" w:space="0" w:color="auto"/>
            <w:bottom w:val="none" w:sz="0" w:space="0" w:color="auto"/>
            <w:right w:val="none" w:sz="0" w:space="0" w:color="auto"/>
          </w:divBdr>
          <w:divsChild>
            <w:div w:id="1414400984">
              <w:marLeft w:val="0"/>
              <w:marRight w:val="0"/>
              <w:marTop w:val="0"/>
              <w:marBottom w:val="0"/>
              <w:divBdr>
                <w:top w:val="none" w:sz="0" w:space="0" w:color="auto"/>
                <w:left w:val="none" w:sz="0" w:space="0" w:color="auto"/>
                <w:bottom w:val="none" w:sz="0" w:space="0" w:color="auto"/>
                <w:right w:val="none" w:sz="0" w:space="0" w:color="auto"/>
              </w:divBdr>
            </w:div>
          </w:divsChild>
        </w:div>
        <w:div w:id="744500623">
          <w:marLeft w:val="0"/>
          <w:marRight w:val="0"/>
          <w:marTop w:val="0"/>
          <w:marBottom w:val="0"/>
          <w:divBdr>
            <w:top w:val="none" w:sz="0" w:space="0" w:color="auto"/>
            <w:left w:val="none" w:sz="0" w:space="0" w:color="auto"/>
            <w:bottom w:val="none" w:sz="0" w:space="0" w:color="auto"/>
            <w:right w:val="none" w:sz="0" w:space="0" w:color="auto"/>
          </w:divBdr>
          <w:divsChild>
            <w:div w:id="1143541849">
              <w:marLeft w:val="0"/>
              <w:marRight w:val="0"/>
              <w:marTop w:val="0"/>
              <w:marBottom w:val="0"/>
              <w:divBdr>
                <w:top w:val="none" w:sz="0" w:space="0" w:color="auto"/>
                <w:left w:val="none" w:sz="0" w:space="0" w:color="auto"/>
                <w:bottom w:val="none" w:sz="0" w:space="0" w:color="auto"/>
                <w:right w:val="none" w:sz="0" w:space="0" w:color="auto"/>
              </w:divBdr>
            </w:div>
          </w:divsChild>
        </w:div>
        <w:div w:id="837228826">
          <w:marLeft w:val="0"/>
          <w:marRight w:val="0"/>
          <w:marTop w:val="0"/>
          <w:marBottom w:val="0"/>
          <w:divBdr>
            <w:top w:val="none" w:sz="0" w:space="0" w:color="auto"/>
            <w:left w:val="none" w:sz="0" w:space="0" w:color="auto"/>
            <w:bottom w:val="none" w:sz="0" w:space="0" w:color="auto"/>
            <w:right w:val="none" w:sz="0" w:space="0" w:color="auto"/>
          </w:divBdr>
          <w:divsChild>
            <w:div w:id="1526822318">
              <w:marLeft w:val="0"/>
              <w:marRight w:val="0"/>
              <w:marTop w:val="0"/>
              <w:marBottom w:val="0"/>
              <w:divBdr>
                <w:top w:val="none" w:sz="0" w:space="0" w:color="auto"/>
                <w:left w:val="none" w:sz="0" w:space="0" w:color="auto"/>
                <w:bottom w:val="none" w:sz="0" w:space="0" w:color="auto"/>
                <w:right w:val="none" w:sz="0" w:space="0" w:color="auto"/>
              </w:divBdr>
            </w:div>
          </w:divsChild>
        </w:div>
        <w:div w:id="1622498445">
          <w:marLeft w:val="0"/>
          <w:marRight w:val="0"/>
          <w:marTop w:val="0"/>
          <w:marBottom w:val="0"/>
          <w:divBdr>
            <w:top w:val="none" w:sz="0" w:space="0" w:color="auto"/>
            <w:left w:val="none" w:sz="0" w:space="0" w:color="auto"/>
            <w:bottom w:val="none" w:sz="0" w:space="0" w:color="auto"/>
            <w:right w:val="none" w:sz="0" w:space="0" w:color="auto"/>
          </w:divBdr>
          <w:divsChild>
            <w:div w:id="106319273">
              <w:marLeft w:val="0"/>
              <w:marRight w:val="0"/>
              <w:marTop w:val="0"/>
              <w:marBottom w:val="0"/>
              <w:divBdr>
                <w:top w:val="none" w:sz="0" w:space="0" w:color="auto"/>
                <w:left w:val="none" w:sz="0" w:space="0" w:color="auto"/>
                <w:bottom w:val="none" w:sz="0" w:space="0" w:color="auto"/>
                <w:right w:val="none" w:sz="0" w:space="0" w:color="auto"/>
              </w:divBdr>
            </w:div>
          </w:divsChild>
        </w:div>
        <w:div w:id="2076312819">
          <w:marLeft w:val="0"/>
          <w:marRight w:val="0"/>
          <w:marTop w:val="0"/>
          <w:marBottom w:val="0"/>
          <w:divBdr>
            <w:top w:val="none" w:sz="0" w:space="0" w:color="auto"/>
            <w:left w:val="none" w:sz="0" w:space="0" w:color="auto"/>
            <w:bottom w:val="none" w:sz="0" w:space="0" w:color="auto"/>
            <w:right w:val="none" w:sz="0" w:space="0" w:color="auto"/>
          </w:divBdr>
          <w:divsChild>
            <w:div w:id="593169509">
              <w:marLeft w:val="0"/>
              <w:marRight w:val="0"/>
              <w:marTop w:val="0"/>
              <w:marBottom w:val="0"/>
              <w:divBdr>
                <w:top w:val="none" w:sz="0" w:space="0" w:color="auto"/>
                <w:left w:val="none" w:sz="0" w:space="0" w:color="auto"/>
                <w:bottom w:val="none" w:sz="0" w:space="0" w:color="auto"/>
                <w:right w:val="none" w:sz="0" w:space="0" w:color="auto"/>
              </w:divBdr>
            </w:div>
          </w:divsChild>
        </w:div>
        <w:div w:id="1511750639">
          <w:marLeft w:val="0"/>
          <w:marRight w:val="0"/>
          <w:marTop w:val="0"/>
          <w:marBottom w:val="0"/>
          <w:divBdr>
            <w:top w:val="none" w:sz="0" w:space="0" w:color="auto"/>
            <w:left w:val="none" w:sz="0" w:space="0" w:color="auto"/>
            <w:bottom w:val="none" w:sz="0" w:space="0" w:color="auto"/>
            <w:right w:val="none" w:sz="0" w:space="0" w:color="auto"/>
          </w:divBdr>
          <w:divsChild>
            <w:div w:id="1977105047">
              <w:marLeft w:val="0"/>
              <w:marRight w:val="0"/>
              <w:marTop w:val="0"/>
              <w:marBottom w:val="0"/>
              <w:divBdr>
                <w:top w:val="none" w:sz="0" w:space="0" w:color="auto"/>
                <w:left w:val="none" w:sz="0" w:space="0" w:color="auto"/>
                <w:bottom w:val="none" w:sz="0" w:space="0" w:color="auto"/>
                <w:right w:val="none" w:sz="0" w:space="0" w:color="auto"/>
              </w:divBdr>
            </w:div>
          </w:divsChild>
        </w:div>
        <w:div w:id="1706639371">
          <w:marLeft w:val="0"/>
          <w:marRight w:val="0"/>
          <w:marTop w:val="0"/>
          <w:marBottom w:val="0"/>
          <w:divBdr>
            <w:top w:val="none" w:sz="0" w:space="0" w:color="auto"/>
            <w:left w:val="none" w:sz="0" w:space="0" w:color="auto"/>
            <w:bottom w:val="none" w:sz="0" w:space="0" w:color="auto"/>
            <w:right w:val="none" w:sz="0" w:space="0" w:color="auto"/>
          </w:divBdr>
          <w:divsChild>
            <w:div w:id="612709395">
              <w:marLeft w:val="0"/>
              <w:marRight w:val="0"/>
              <w:marTop w:val="0"/>
              <w:marBottom w:val="0"/>
              <w:divBdr>
                <w:top w:val="none" w:sz="0" w:space="0" w:color="auto"/>
                <w:left w:val="none" w:sz="0" w:space="0" w:color="auto"/>
                <w:bottom w:val="none" w:sz="0" w:space="0" w:color="auto"/>
                <w:right w:val="none" w:sz="0" w:space="0" w:color="auto"/>
              </w:divBdr>
            </w:div>
          </w:divsChild>
        </w:div>
        <w:div w:id="950937569">
          <w:marLeft w:val="0"/>
          <w:marRight w:val="0"/>
          <w:marTop w:val="0"/>
          <w:marBottom w:val="0"/>
          <w:divBdr>
            <w:top w:val="none" w:sz="0" w:space="0" w:color="auto"/>
            <w:left w:val="none" w:sz="0" w:space="0" w:color="auto"/>
            <w:bottom w:val="none" w:sz="0" w:space="0" w:color="auto"/>
            <w:right w:val="none" w:sz="0" w:space="0" w:color="auto"/>
          </w:divBdr>
          <w:divsChild>
            <w:div w:id="152450443">
              <w:marLeft w:val="0"/>
              <w:marRight w:val="0"/>
              <w:marTop w:val="0"/>
              <w:marBottom w:val="0"/>
              <w:divBdr>
                <w:top w:val="none" w:sz="0" w:space="0" w:color="auto"/>
                <w:left w:val="none" w:sz="0" w:space="0" w:color="auto"/>
                <w:bottom w:val="none" w:sz="0" w:space="0" w:color="auto"/>
                <w:right w:val="none" w:sz="0" w:space="0" w:color="auto"/>
              </w:divBdr>
            </w:div>
          </w:divsChild>
        </w:div>
        <w:div w:id="1612086662">
          <w:marLeft w:val="0"/>
          <w:marRight w:val="0"/>
          <w:marTop w:val="0"/>
          <w:marBottom w:val="0"/>
          <w:divBdr>
            <w:top w:val="none" w:sz="0" w:space="0" w:color="auto"/>
            <w:left w:val="none" w:sz="0" w:space="0" w:color="auto"/>
            <w:bottom w:val="none" w:sz="0" w:space="0" w:color="auto"/>
            <w:right w:val="none" w:sz="0" w:space="0" w:color="auto"/>
          </w:divBdr>
          <w:divsChild>
            <w:div w:id="1758406451">
              <w:marLeft w:val="0"/>
              <w:marRight w:val="0"/>
              <w:marTop w:val="0"/>
              <w:marBottom w:val="0"/>
              <w:divBdr>
                <w:top w:val="none" w:sz="0" w:space="0" w:color="auto"/>
                <w:left w:val="none" w:sz="0" w:space="0" w:color="auto"/>
                <w:bottom w:val="none" w:sz="0" w:space="0" w:color="auto"/>
                <w:right w:val="none" w:sz="0" w:space="0" w:color="auto"/>
              </w:divBdr>
            </w:div>
          </w:divsChild>
        </w:div>
        <w:div w:id="79840344">
          <w:marLeft w:val="0"/>
          <w:marRight w:val="0"/>
          <w:marTop w:val="0"/>
          <w:marBottom w:val="0"/>
          <w:divBdr>
            <w:top w:val="none" w:sz="0" w:space="0" w:color="auto"/>
            <w:left w:val="none" w:sz="0" w:space="0" w:color="auto"/>
            <w:bottom w:val="none" w:sz="0" w:space="0" w:color="auto"/>
            <w:right w:val="none" w:sz="0" w:space="0" w:color="auto"/>
          </w:divBdr>
          <w:divsChild>
            <w:div w:id="775367036">
              <w:marLeft w:val="0"/>
              <w:marRight w:val="0"/>
              <w:marTop w:val="0"/>
              <w:marBottom w:val="0"/>
              <w:divBdr>
                <w:top w:val="none" w:sz="0" w:space="0" w:color="auto"/>
                <w:left w:val="none" w:sz="0" w:space="0" w:color="auto"/>
                <w:bottom w:val="none" w:sz="0" w:space="0" w:color="auto"/>
                <w:right w:val="none" w:sz="0" w:space="0" w:color="auto"/>
              </w:divBdr>
            </w:div>
          </w:divsChild>
        </w:div>
        <w:div w:id="758141724">
          <w:marLeft w:val="0"/>
          <w:marRight w:val="0"/>
          <w:marTop w:val="0"/>
          <w:marBottom w:val="0"/>
          <w:divBdr>
            <w:top w:val="none" w:sz="0" w:space="0" w:color="auto"/>
            <w:left w:val="none" w:sz="0" w:space="0" w:color="auto"/>
            <w:bottom w:val="none" w:sz="0" w:space="0" w:color="auto"/>
            <w:right w:val="none" w:sz="0" w:space="0" w:color="auto"/>
          </w:divBdr>
          <w:divsChild>
            <w:div w:id="311641804">
              <w:marLeft w:val="0"/>
              <w:marRight w:val="0"/>
              <w:marTop w:val="0"/>
              <w:marBottom w:val="0"/>
              <w:divBdr>
                <w:top w:val="none" w:sz="0" w:space="0" w:color="auto"/>
                <w:left w:val="none" w:sz="0" w:space="0" w:color="auto"/>
                <w:bottom w:val="none" w:sz="0" w:space="0" w:color="auto"/>
                <w:right w:val="none" w:sz="0" w:space="0" w:color="auto"/>
              </w:divBdr>
            </w:div>
          </w:divsChild>
        </w:div>
        <w:div w:id="1522158710">
          <w:marLeft w:val="0"/>
          <w:marRight w:val="0"/>
          <w:marTop w:val="0"/>
          <w:marBottom w:val="0"/>
          <w:divBdr>
            <w:top w:val="none" w:sz="0" w:space="0" w:color="auto"/>
            <w:left w:val="none" w:sz="0" w:space="0" w:color="auto"/>
            <w:bottom w:val="none" w:sz="0" w:space="0" w:color="auto"/>
            <w:right w:val="none" w:sz="0" w:space="0" w:color="auto"/>
          </w:divBdr>
          <w:divsChild>
            <w:div w:id="2089423398">
              <w:marLeft w:val="0"/>
              <w:marRight w:val="0"/>
              <w:marTop w:val="0"/>
              <w:marBottom w:val="0"/>
              <w:divBdr>
                <w:top w:val="none" w:sz="0" w:space="0" w:color="auto"/>
                <w:left w:val="none" w:sz="0" w:space="0" w:color="auto"/>
                <w:bottom w:val="none" w:sz="0" w:space="0" w:color="auto"/>
                <w:right w:val="none" w:sz="0" w:space="0" w:color="auto"/>
              </w:divBdr>
            </w:div>
          </w:divsChild>
        </w:div>
        <w:div w:id="374700013">
          <w:marLeft w:val="0"/>
          <w:marRight w:val="0"/>
          <w:marTop w:val="0"/>
          <w:marBottom w:val="0"/>
          <w:divBdr>
            <w:top w:val="none" w:sz="0" w:space="0" w:color="auto"/>
            <w:left w:val="none" w:sz="0" w:space="0" w:color="auto"/>
            <w:bottom w:val="none" w:sz="0" w:space="0" w:color="auto"/>
            <w:right w:val="none" w:sz="0" w:space="0" w:color="auto"/>
          </w:divBdr>
          <w:divsChild>
            <w:div w:id="1850757656">
              <w:marLeft w:val="0"/>
              <w:marRight w:val="0"/>
              <w:marTop w:val="0"/>
              <w:marBottom w:val="0"/>
              <w:divBdr>
                <w:top w:val="none" w:sz="0" w:space="0" w:color="auto"/>
                <w:left w:val="none" w:sz="0" w:space="0" w:color="auto"/>
                <w:bottom w:val="none" w:sz="0" w:space="0" w:color="auto"/>
                <w:right w:val="none" w:sz="0" w:space="0" w:color="auto"/>
              </w:divBdr>
            </w:div>
          </w:divsChild>
        </w:div>
        <w:div w:id="1317805262">
          <w:marLeft w:val="0"/>
          <w:marRight w:val="0"/>
          <w:marTop w:val="0"/>
          <w:marBottom w:val="0"/>
          <w:divBdr>
            <w:top w:val="none" w:sz="0" w:space="0" w:color="auto"/>
            <w:left w:val="none" w:sz="0" w:space="0" w:color="auto"/>
            <w:bottom w:val="none" w:sz="0" w:space="0" w:color="auto"/>
            <w:right w:val="none" w:sz="0" w:space="0" w:color="auto"/>
          </w:divBdr>
          <w:divsChild>
            <w:div w:id="1528367627">
              <w:marLeft w:val="0"/>
              <w:marRight w:val="0"/>
              <w:marTop w:val="0"/>
              <w:marBottom w:val="0"/>
              <w:divBdr>
                <w:top w:val="none" w:sz="0" w:space="0" w:color="auto"/>
                <w:left w:val="none" w:sz="0" w:space="0" w:color="auto"/>
                <w:bottom w:val="none" w:sz="0" w:space="0" w:color="auto"/>
                <w:right w:val="none" w:sz="0" w:space="0" w:color="auto"/>
              </w:divBdr>
            </w:div>
          </w:divsChild>
        </w:div>
        <w:div w:id="1220745386">
          <w:marLeft w:val="0"/>
          <w:marRight w:val="0"/>
          <w:marTop w:val="0"/>
          <w:marBottom w:val="0"/>
          <w:divBdr>
            <w:top w:val="none" w:sz="0" w:space="0" w:color="auto"/>
            <w:left w:val="none" w:sz="0" w:space="0" w:color="auto"/>
            <w:bottom w:val="none" w:sz="0" w:space="0" w:color="auto"/>
            <w:right w:val="none" w:sz="0" w:space="0" w:color="auto"/>
          </w:divBdr>
          <w:divsChild>
            <w:div w:id="192575034">
              <w:marLeft w:val="0"/>
              <w:marRight w:val="0"/>
              <w:marTop w:val="0"/>
              <w:marBottom w:val="0"/>
              <w:divBdr>
                <w:top w:val="none" w:sz="0" w:space="0" w:color="auto"/>
                <w:left w:val="none" w:sz="0" w:space="0" w:color="auto"/>
                <w:bottom w:val="none" w:sz="0" w:space="0" w:color="auto"/>
                <w:right w:val="none" w:sz="0" w:space="0" w:color="auto"/>
              </w:divBdr>
            </w:div>
          </w:divsChild>
        </w:div>
        <w:div w:id="640573667">
          <w:marLeft w:val="0"/>
          <w:marRight w:val="0"/>
          <w:marTop w:val="0"/>
          <w:marBottom w:val="0"/>
          <w:divBdr>
            <w:top w:val="none" w:sz="0" w:space="0" w:color="auto"/>
            <w:left w:val="none" w:sz="0" w:space="0" w:color="auto"/>
            <w:bottom w:val="none" w:sz="0" w:space="0" w:color="auto"/>
            <w:right w:val="none" w:sz="0" w:space="0" w:color="auto"/>
          </w:divBdr>
          <w:divsChild>
            <w:div w:id="1279608307">
              <w:marLeft w:val="0"/>
              <w:marRight w:val="0"/>
              <w:marTop w:val="0"/>
              <w:marBottom w:val="0"/>
              <w:divBdr>
                <w:top w:val="none" w:sz="0" w:space="0" w:color="auto"/>
                <w:left w:val="none" w:sz="0" w:space="0" w:color="auto"/>
                <w:bottom w:val="none" w:sz="0" w:space="0" w:color="auto"/>
                <w:right w:val="none" w:sz="0" w:space="0" w:color="auto"/>
              </w:divBdr>
            </w:div>
          </w:divsChild>
        </w:div>
        <w:div w:id="1835486414">
          <w:marLeft w:val="0"/>
          <w:marRight w:val="0"/>
          <w:marTop w:val="0"/>
          <w:marBottom w:val="0"/>
          <w:divBdr>
            <w:top w:val="none" w:sz="0" w:space="0" w:color="auto"/>
            <w:left w:val="none" w:sz="0" w:space="0" w:color="auto"/>
            <w:bottom w:val="none" w:sz="0" w:space="0" w:color="auto"/>
            <w:right w:val="none" w:sz="0" w:space="0" w:color="auto"/>
          </w:divBdr>
          <w:divsChild>
            <w:div w:id="338385088">
              <w:marLeft w:val="0"/>
              <w:marRight w:val="0"/>
              <w:marTop w:val="0"/>
              <w:marBottom w:val="0"/>
              <w:divBdr>
                <w:top w:val="none" w:sz="0" w:space="0" w:color="auto"/>
                <w:left w:val="none" w:sz="0" w:space="0" w:color="auto"/>
                <w:bottom w:val="none" w:sz="0" w:space="0" w:color="auto"/>
                <w:right w:val="none" w:sz="0" w:space="0" w:color="auto"/>
              </w:divBdr>
            </w:div>
          </w:divsChild>
        </w:div>
        <w:div w:id="2140023955">
          <w:marLeft w:val="0"/>
          <w:marRight w:val="0"/>
          <w:marTop w:val="0"/>
          <w:marBottom w:val="0"/>
          <w:divBdr>
            <w:top w:val="none" w:sz="0" w:space="0" w:color="auto"/>
            <w:left w:val="none" w:sz="0" w:space="0" w:color="auto"/>
            <w:bottom w:val="none" w:sz="0" w:space="0" w:color="auto"/>
            <w:right w:val="none" w:sz="0" w:space="0" w:color="auto"/>
          </w:divBdr>
          <w:divsChild>
            <w:div w:id="514393051">
              <w:marLeft w:val="0"/>
              <w:marRight w:val="0"/>
              <w:marTop w:val="0"/>
              <w:marBottom w:val="0"/>
              <w:divBdr>
                <w:top w:val="none" w:sz="0" w:space="0" w:color="auto"/>
                <w:left w:val="none" w:sz="0" w:space="0" w:color="auto"/>
                <w:bottom w:val="none" w:sz="0" w:space="0" w:color="auto"/>
                <w:right w:val="none" w:sz="0" w:space="0" w:color="auto"/>
              </w:divBdr>
            </w:div>
          </w:divsChild>
        </w:div>
        <w:div w:id="1180698805">
          <w:marLeft w:val="0"/>
          <w:marRight w:val="0"/>
          <w:marTop w:val="0"/>
          <w:marBottom w:val="0"/>
          <w:divBdr>
            <w:top w:val="none" w:sz="0" w:space="0" w:color="auto"/>
            <w:left w:val="none" w:sz="0" w:space="0" w:color="auto"/>
            <w:bottom w:val="none" w:sz="0" w:space="0" w:color="auto"/>
            <w:right w:val="none" w:sz="0" w:space="0" w:color="auto"/>
          </w:divBdr>
          <w:divsChild>
            <w:div w:id="635840343">
              <w:marLeft w:val="0"/>
              <w:marRight w:val="0"/>
              <w:marTop w:val="0"/>
              <w:marBottom w:val="0"/>
              <w:divBdr>
                <w:top w:val="none" w:sz="0" w:space="0" w:color="auto"/>
                <w:left w:val="none" w:sz="0" w:space="0" w:color="auto"/>
                <w:bottom w:val="none" w:sz="0" w:space="0" w:color="auto"/>
                <w:right w:val="none" w:sz="0" w:space="0" w:color="auto"/>
              </w:divBdr>
            </w:div>
          </w:divsChild>
        </w:div>
        <w:div w:id="1959677371">
          <w:marLeft w:val="0"/>
          <w:marRight w:val="0"/>
          <w:marTop w:val="0"/>
          <w:marBottom w:val="0"/>
          <w:divBdr>
            <w:top w:val="none" w:sz="0" w:space="0" w:color="auto"/>
            <w:left w:val="none" w:sz="0" w:space="0" w:color="auto"/>
            <w:bottom w:val="none" w:sz="0" w:space="0" w:color="auto"/>
            <w:right w:val="none" w:sz="0" w:space="0" w:color="auto"/>
          </w:divBdr>
          <w:divsChild>
            <w:div w:id="283342252">
              <w:marLeft w:val="0"/>
              <w:marRight w:val="0"/>
              <w:marTop w:val="0"/>
              <w:marBottom w:val="0"/>
              <w:divBdr>
                <w:top w:val="none" w:sz="0" w:space="0" w:color="auto"/>
                <w:left w:val="none" w:sz="0" w:space="0" w:color="auto"/>
                <w:bottom w:val="none" w:sz="0" w:space="0" w:color="auto"/>
                <w:right w:val="none" w:sz="0" w:space="0" w:color="auto"/>
              </w:divBdr>
            </w:div>
          </w:divsChild>
        </w:div>
        <w:div w:id="1901287992">
          <w:marLeft w:val="0"/>
          <w:marRight w:val="0"/>
          <w:marTop w:val="0"/>
          <w:marBottom w:val="0"/>
          <w:divBdr>
            <w:top w:val="none" w:sz="0" w:space="0" w:color="auto"/>
            <w:left w:val="none" w:sz="0" w:space="0" w:color="auto"/>
            <w:bottom w:val="none" w:sz="0" w:space="0" w:color="auto"/>
            <w:right w:val="none" w:sz="0" w:space="0" w:color="auto"/>
          </w:divBdr>
          <w:divsChild>
            <w:div w:id="262568781">
              <w:marLeft w:val="0"/>
              <w:marRight w:val="0"/>
              <w:marTop w:val="0"/>
              <w:marBottom w:val="0"/>
              <w:divBdr>
                <w:top w:val="none" w:sz="0" w:space="0" w:color="auto"/>
                <w:left w:val="none" w:sz="0" w:space="0" w:color="auto"/>
                <w:bottom w:val="none" w:sz="0" w:space="0" w:color="auto"/>
                <w:right w:val="none" w:sz="0" w:space="0" w:color="auto"/>
              </w:divBdr>
            </w:div>
          </w:divsChild>
        </w:div>
        <w:div w:id="1064641474">
          <w:marLeft w:val="0"/>
          <w:marRight w:val="0"/>
          <w:marTop w:val="0"/>
          <w:marBottom w:val="0"/>
          <w:divBdr>
            <w:top w:val="none" w:sz="0" w:space="0" w:color="auto"/>
            <w:left w:val="none" w:sz="0" w:space="0" w:color="auto"/>
            <w:bottom w:val="none" w:sz="0" w:space="0" w:color="auto"/>
            <w:right w:val="none" w:sz="0" w:space="0" w:color="auto"/>
          </w:divBdr>
          <w:divsChild>
            <w:div w:id="1119648601">
              <w:marLeft w:val="0"/>
              <w:marRight w:val="0"/>
              <w:marTop w:val="0"/>
              <w:marBottom w:val="0"/>
              <w:divBdr>
                <w:top w:val="none" w:sz="0" w:space="0" w:color="auto"/>
                <w:left w:val="none" w:sz="0" w:space="0" w:color="auto"/>
                <w:bottom w:val="none" w:sz="0" w:space="0" w:color="auto"/>
                <w:right w:val="none" w:sz="0" w:space="0" w:color="auto"/>
              </w:divBdr>
            </w:div>
          </w:divsChild>
        </w:div>
        <w:div w:id="1782067851">
          <w:marLeft w:val="0"/>
          <w:marRight w:val="0"/>
          <w:marTop w:val="0"/>
          <w:marBottom w:val="0"/>
          <w:divBdr>
            <w:top w:val="none" w:sz="0" w:space="0" w:color="auto"/>
            <w:left w:val="none" w:sz="0" w:space="0" w:color="auto"/>
            <w:bottom w:val="none" w:sz="0" w:space="0" w:color="auto"/>
            <w:right w:val="none" w:sz="0" w:space="0" w:color="auto"/>
          </w:divBdr>
          <w:divsChild>
            <w:div w:id="1851602367">
              <w:marLeft w:val="0"/>
              <w:marRight w:val="0"/>
              <w:marTop w:val="0"/>
              <w:marBottom w:val="0"/>
              <w:divBdr>
                <w:top w:val="none" w:sz="0" w:space="0" w:color="auto"/>
                <w:left w:val="none" w:sz="0" w:space="0" w:color="auto"/>
                <w:bottom w:val="none" w:sz="0" w:space="0" w:color="auto"/>
                <w:right w:val="none" w:sz="0" w:space="0" w:color="auto"/>
              </w:divBdr>
            </w:div>
          </w:divsChild>
        </w:div>
        <w:div w:id="1631786420">
          <w:marLeft w:val="0"/>
          <w:marRight w:val="0"/>
          <w:marTop w:val="0"/>
          <w:marBottom w:val="0"/>
          <w:divBdr>
            <w:top w:val="none" w:sz="0" w:space="0" w:color="auto"/>
            <w:left w:val="none" w:sz="0" w:space="0" w:color="auto"/>
            <w:bottom w:val="none" w:sz="0" w:space="0" w:color="auto"/>
            <w:right w:val="none" w:sz="0" w:space="0" w:color="auto"/>
          </w:divBdr>
          <w:divsChild>
            <w:div w:id="164129508">
              <w:marLeft w:val="0"/>
              <w:marRight w:val="0"/>
              <w:marTop w:val="0"/>
              <w:marBottom w:val="0"/>
              <w:divBdr>
                <w:top w:val="none" w:sz="0" w:space="0" w:color="auto"/>
                <w:left w:val="none" w:sz="0" w:space="0" w:color="auto"/>
                <w:bottom w:val="none" w:sz="0" w:space="0" w:color="auto"/>
                <w:right w:val="none" w:sz="0" w:space="0" w:color="auto"/>
              </w:divBdr>
            </w:div>
          </w:divsChild>
        </w:div>
        <w:div w:id="2048751324">
          <w:marLeft w:val="0"/>
          <w:marRight w:val="0"/>
          <w:marTop w:val="0"/>
          <w:marBottom w:val="0"/>
          <w:divBdr>
            <w:top w:val="none" w:sz="0" w:space="0" w:color="auto"/>
            <w:left w:val="none" w:sz="0" w:space="0" w:color="auto"/>
            <w:bottom w:val="none" w:sz="0" w:space="0" w:color="auto"/>
            <w:right w:val="none" w:sz="0" w:space="0" w:color="auto"/>
          </w:divBdr>
          <w:divsChild>
            <w:div w:id="437726271">
              <w:marLeft w:val="0"/>
              <w:marRight w:val="0"/>
              <w:marTop w:val="0"/>
              <w:marBottom w:val="0"/>
              <w:divBdr>
                <w:top w:val="none" w:sz="0" w:space="0" w:color="auto"/>
                <w:left w:val="none" w:sz="0" w:space="0" w:color="auto"/>
                <w:bottom w:val="none" w:sz="0" w:space="0" w:color="auto"/>
                <w:right w:val="none" w:sz="0" w:space="0" w:color="auto"/>
              </w:divBdr>
            </w:div>
          </w:divsChild>
        </w:div>
        <w:div w:id="255596695">
          <w:marLeft w:val="0"/>
          <w:marRight w:val="0"/>
          <w:marTop w:val="0"/>
          <w:marBottom w:val="0"/>
          <w:divBdr>
            <w:top w:val="none" w:sz="0" w:space="0" w:color="auto"/>
            <w:left w:val="none" w:sz="0" w:space="0" w:color="auto"/>
            <w:bottom w:val="none" w:sz="0" w:space="0" w:color="auto"/>
            <w:right w:val="none" w:sz="0" w:space="0" w:color="auto"/>
          </w:divBdr>
          <w:divsChild>
            <w:div w:id="193936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86058">
      <w:bodyDiv w:val="1"/>
      <w:marLeft w:val="0"/>
      <w:marRight w:val="0"/>
      <w:marTop w:val="0"/>
      <w:marBottom w:val="0"/>
      <w:divBdr>
        <w:top w:val="none" w:sz="0" w:space="0" w:color="auto"/>
        <w:left w:val="none" w:sz="0" w:space="0" w:color="auto"/>
        <w:bottom w:val="none" w:sz="0" w:space="0" w:color="auto"/>
        <w:right w:val="none" w:sz="0" w:space="0" w:color="auto"/>
      </w:divBdr>
      <w:divsChild>
        <w:div w:id="1248223220">
          <w:marLeft w:val="0"/>
          <w:marRight w:val="0"/>
          <w:marTop w:val="0"/>
          <w:marBottom w:val="0"/>
          <w:divBdr>
            <w:top w:val="none" w:sz="0" w:space="0" w:color="auto"/>
            <w:left w:val="none" w:sz="0" w:space="0" w:color="auto"/>
            <w:bottom w:val="none" w:sz="0" w:space="0" w:color="auto"/>
            <w:right w:val="none" w:sz="0" w:space="0" w:color="auto"/>
          </w:divBdr>
          <w:divsChild>
            <w:div w:id="1564441230">
              <w:marLeft w:val="0"/>
              <w:marRight w:val="0"/>
              <w:marTop w:val="0"/>
              <w:marBottom w:val="0"/>
              <w:divBdr>
                <w:top w:val="none" w:sz="0" w:space="0" w:color="auto"/>
                <w:left w:val="none" w:sz="0" w:space="0" w:color="auto"/>
                <w:bottom w:val="none" w:sz="0" w:space="0" w:color="auto"/>
                <w:right w:val="none" w:sz="0" w:space="0" w:color="auto"/>
              </w:divBdr>
            </w:div>
          </w:divsChild>
        </w:div>
        <w:div w:id="349113499">
          <w:marLeft w:val="0"/>
          <w:marRight w:val="0"/>
          <w:marTop w:val="0"/>
          <w:marBottom w:val="0"/>
          <w:divBdr>
            <w:top w:val="none" w:sz="0" w:space="0" w:color="auto"/>
            <w:left w:val="none" w:sz="0" w:space="0" w:color="auto"/>
            <w:bottom w:val="none" w:sz="0" w:space="0" w:color="auto"/>
            <w:right w:val="none" w:sz="0" w:space="0" w:color="auto"/>
          </w:divBdr>
          <w:divsChild>
            <w:div w:id="1060249859">
              <w:marLeft w:val="0"/>
              <w:marRight w:val="0"/>
              <w:marTop w:val="0"/>
              <w:marBottom w:val="0"/>
              <w:divBdr>
                <w:top w:val="none" w:sz="0" w:space="0" w:color="auto"/>
                <w:left w:val="none" w:sz="0" w:space="0" w:color="auto"/>
                <w:bottom w:val="none" w:sz="0" w:space="0" w:color="auto"/>
                <w:right w:val="none" w:sz="0" w:space="0" w:color="auto"/>
              </w:divBdr>
            </w:div>
          </w:divsChild>
        </w:div>
        <w:div w:id="2117367376">
          <w:marLeft w:val="0"/>
          <w:marRight w:val="0"/>
          <w:marTop w:val="0"/>
          <w:marBottom w:val="0"/>
          <w:divBdr>
            <w:top w:val="none" w:sz="0" w:space="0" w:color="auto"/>
            <w:left w:val="none" w:sz="0" w:space="0" w:color="auto"/>
            <w:bottom w:val="none" w:sz="0" w:space="0" w:color="auto"/>
            <w:right w:val="none" w:sz="0" w:space="0" w:color="auto"/>
          </w:divBdr>
          <w:divsChild>
            <w:div w:id="399407983">
              <w:marLeft w:val="0"/>
              <w:marRight w:val="0"/>
              <w:marTop w:val="0"/>
              <w:marBottom w:val="0"/>
              <w:divBdr>
                <w:top w:val="none" w:sz="0" w:space="0" w:color="auto"/>
                <w:left w:val="none" w:sz="0" w:space="0" w:color="auto"/>
                <w:bottom w:val="none" w:sz="0" w:space="0" w:color="auto"/>
                <w:right w:val="none" w:sz="0" w:space="0" w:color="auto"/>
              </w:divBdr>
            </w:div>
          </w:divsChild>
        </w:div>
        <w:div w:id="2012560518">
          <w:marLeft w:val="0"/>
          <w:marRight w:val="0"/>
          <w:marTop w:val="0"/>
          <w:marBottom w:val="0"/>
          <w:divBdr>
            <w:top w:val="none" w:sz="0" w:space="0" w:color="auto"/>
            <w:left w:val="none" w:sz="0" w:space="0" w:color="auto"/>
            <w:bottom w:val="none" w:sz="0" w:space="0" w:color="auto"/>
            <w:right w:val="none" w:sz="0" w:space="0" w:color="auto"/>
          </w:divBdr>
          <w:divsChild>
            <w:div w:id="284115672">
              <w:marLeft w:val="0"/>
              <w:marRight w:val="0"/>
              <w:marTop w:val="0"/>
              <w:marBottom w:val="0"/>
              <w:divBdr>
                <w:top w:val="none" w:sz="0" w:space="0" w:color="auto"/>
                <w:left w:val="none" w:sz="0" w:space="0" w:color="auto"/>
                <w:bottom w:val="none" w:sz="0" w:space="0" w:color="auto"/>
                <w:right w:val="none" w:sz="0" w:space="0" w:color="auto"/>
              </w:divBdr>
            </w:div>
          </w:divsChild>
        </w:div>
        <w:div w:id="1331906341">
          <w:marLeft w:val="0"/>
          <w:marRight w:val="0"/>
          <w:marTop w:val="0"/>
          <w:marBottom w:val="0"/>
          <w:divBdr>
            <w:top w:val="none" w:sz="0" w:space="0" w:color="auto"/>
            <w:left w:val="none" w:sz="0" w:space="0" w:color="auto"/>
            <w:bottom w:val="none" w:sz="0" w:space="0" w:color="auto"/>
            <w:right w:val="none" w:sz="0" w:space="0" w:color="auto"/>
          </w:divBdr>
          <w:divsChild>
            <w:div w:id="167447965">
              <w:marLeft w:val="0"/>
              <w:marRight w:val="0"/>
              <w:marTop w:val="0"/>
              <w:marBottom w:val="0"/>
              <w:divBdr>
                <w:top w:val="none" w:sz="0" w:space="0" w:color="auto"/>
                <w:left w:val="none" w:sz="0" w:space="0" w:color="auto"/>
                <w:bottom w:val="none" w:sz="0" w:space="0" w:color="auto"/>
                <w:right w:val="none" w:sz="0" w:space="0" w:color="auto"/>
              </w:divBdr>
            </w:div>
          </w:divsChild>
        </w:div>
        <w:div w:id="1604999079">
          <w:marLeft w:val="0"/>
          <w:marRight w:val="0"/>
          <w:marTop w:val="0"/>
          <w:marBottom w:val="0"/>
          <w:divBdr>
            <w:top w:val="none" w:sz="0" w:space="0" w:color="auto"/>
            <w:left w:val="none" w:sz="0" w:space="0" w:color="auto"/>
            <w:bottom w:val="none" w:sz="0" w:space="0" w:color="auto"/>
            <w:right w:val="none" w:sz="0" w:space="0" w:color="auto"/>
          </w:divBdr>
          <w:divsChild>
            <w:div w:id="6491022">
              <w:marLeft w:val="0"/>
              <w:marRight w:val="0"/>
              <w:marTop w:val="0"/>
              <w:marBottom w:val="0"/>
              <w:divBdr>
                <w:top w:val="none" w:sz="0" w:space="0" w:color="auto"/>
                <w:left w:val="none" w:sz="0" w:space="0" w:color="auto"/>
                <w:bottom w:val="none" w:sz="0" w:space="0" w:color="auto"/>
                <w:right w:val="none" w:sz="0" w:space="0" w:color="auto"/>
              </w:divBdr>
            </w:div>
          </w:divsChild>
        </w:div>
        <w:div w:id="1670213297">
          <w:marLeft w:val="0"/>
          <w:marRight w:val="0"/>
          <w:marTop w:val="0"/>
          <w:marBottom w:val="0"/>
          <w:divBdr>
            <w:top w:val="none" w:sz="0" w:space="0" w:color="auto"/>
            <w:left w:val="none" w:sz="0" w:space="0" w:color="auto"/>
            <w:bottom w:val="none" w:sz="0" w:space="0" w:color="auto"/>
            <w:right w:val="none" w:sz="0" w:space="0" w:color="auto"/>
          </w:divBdr>
          <w:divsChild>
            <w:div w:id="969939942">
              <w:marLeft w:val="0"/>
              <w:marRight w:val="0"/>
              <w:marTop w:val="0"/>
              <w:marBottom w:val="0"/>
              <w:divBdr>
                <w:top w:val="none" w:sz="0" w:space="0" w:color="auto"/>
                <w:left w:val="none" w:sz="0" w:space="0" w:color="auto"/>
                <w:bottom w:val="none" w:sz="0" w:space="0" w:color="auto"/>
                <w:right w:val="none" w:sz="0" w:space="0" w:color="auto"/>
              </w:divBdr>
            </w:div>
          </w:divsChild>
        </w:div>
        <w:div w:id="282273194">
          <w:marLeft w:val="0"/>
          <w:marRight w:val="0"/>
          <w:marTop w:val="0"/>
          <w:marBottom w:val="0"/>
          <w:divBdr>
            <w:top w:val="none" w:sz="0" w:space="0" w:color="auto"/>
            <w:left w:val="none" w:sz="0" w:space="0" w:color="auto"/>
            <w:bottom w:val="none" w:sz="0" w:space="0" w:color="auto"/>
            <w:right w:val="none" w:sz="0" w:space="0" w:color="auto"/>
          </w:divBdr>
          <w:divsChild>
            <w:div w:id="323513122">
              <w:marLeft w:val="0"/>
              <w:marRight w:val="0"/>
              <w:marTop w:val="0"/>
              <w:marBottom w:val="0"/>
              <w:divBdr>
                <w:top w:val="none" w:sz="0" w:space="0" w:color="auto"/>
                <w:left w:val="none" w:sz="0" w:space="0" w:color="auto"/>
                <w:bottom w:val="none" w:sz="0" w:space="0" w:color="auto"/>
                <w:right w:val="none" w:sz="0" w:space="0" w:color="auto"/>
              </w:divBdr>
            </w:div>
          </w:divsChild>
        </w:div>
        <w:div w:id="1966890194">
          <w:marLeft w:val="0"/>
          <w:marRight w:val="0"/>
          <w:marTop w:val="0"/>
          <w:marBottom w:val="0"/>
          <w:divBdr>
            <w:top w:val="none" w:sz="0" w:space="0" w:color="auto"/>
            <w:left w:val="none" w:sz="0" w:space="0" w:color="auto"/>
            <w:bottom w:val="none" w:sz="0" w:space="0" w:color="auto"/>
            <w:right w:val="none" w:sz="0" w:space="0" w:color="auto"/>
          </w:divBdr>
          <w:divsChild>
            <w:div w:id="118033926">
              <w:marLeft w:val="0"/>
              <w:marRight w:val="0"/>
              <w:marTop w:val="0"/>
              <w:marBottom w:val="0"/>
              <w:divBdr>
                <w:top w:val="none" w:sz="0" w:space="0" w:color="auto"/>
                <w:left w:val="none" w:sz="0" w:space="0" w:color="auto"/>
                <w:bottom w:val="none" w:sz="0" w:space="0" w:color="auto"/>
                <w:right w:val="none" w:sz="0" w:space="0" w:color="auto"/>
              </w:divBdr>
            </w:div>
          </w:divsChild>
        </w:div>
        <w:div w:id="476536353">
          <w:marLeft w:val="0"/>
          <w:marRight w:val="0"/>
          <w:marTop w:val="0"/>
          <w:marBottom w:val="0"/>
          <w:divBdr>
            <w:top w:val="none" w:sz="0" w:space="0" w:color="auto"/>
            <w:left w:val="none" w:sz="0" w:space="0" w:color="auto"/>
            <w:bottom w:val="none" w:sz="0" w:space="0" w:color="auto"/>
            <w:right w:val="none" w:sz="0" w:space="0" w:color="auto"/>
          </w:divBdr>
          <w:divsChild>
            <w:div w:id="2015304543">
              <w:marLeft w:val="0"/>
              <w:marRight w:val="0"/>
              <w:marTop w:val="0"/>
              <w:marBottom w:val="0"/>
              <w:divBdr>
                <w:top w:val="none" w:sz="0" w:space="0" w:color="auto"/>
                <w:left w:val="none" w:sz="0" w:space="0" w:color="auto"/>
                <w:bottom w:val="none" w:sz="0" w:space="0" w:color="auto"/>
                <w:right w:val="none" w:sz="0" w:space="0" w:color="auto"/>
              </w:divBdr>
            </w:div>
          </w:divsChild>
        </w:div>
        <w:div w:id="1935699948">
          <w:marLeft w:val="0"/>
          <w:marRight w:val="0"/>
          <w:marTop w:val="0"/>
          <w:marBottom w:val="0"/>
          <w:divBdr>
            <w:top w:val="none" w:sz="0" w:space="0" w:color="auto"/>
            <w:left w:val="none" w:sz="0" w:space="0" w:color="auto"/>
            <w:bottom w:val="none" w:sz="0" w:space="0" w:color="auto"/>
            <w:right w:val="none" w:sz="0" w:space="0" w:color="auto"/>
          </w:divBdr>
          <w:divsChild>
            <w:div w:id="947855382">
              <w:marLeft w:val="0"/>
              <w:marRight w:val="0"/>
              <w:marTop w:val="0"/>
              <w:marBottom w:val="0"/>
              <w:divBdr>
                <w:top w:val="none" w:sz="0" w:space="0" w:color="auto"/>
                <w:left w:val="none" w:sz="0" w:space="0" w:color="auto"/>
                <w:bottom w:val="none" w:sz="0" w:space="0" w:color="auto"/>
                <w:right w:val="none" w:sz="0" w:space="0" w:color="auto"/>
              </w:divBdr>
            </w:div>
          </w:divsChild>
        </w:div>
        <w:div w:id="1680963369">
          <w:marLeft w:val="0"/>
          <w:marRight w:val="0"/>
          <w:marTop w:val="0"/>
          <w:marBottom w:val="0"/>
          <w:divBdr>
            <w:top w:val="none" w:sz="0" w:space="0" w:color="auto"/>
            <w:left w:val="none" w:sz="0" w:space="0" w:color="auto"/>
            <w:bottom w:val="none" w:sz="0" w:space="0" w:color="auto"/>
            <w:right w:val="none" w:sz="0" w:space="0" w:color="auto"/>
          </w:divBdr>
          <w:divsChild>
            <w:div w:id="1634873333">
              <w:marLeft w:val="0"/>
              <w:marRight w:val="0"/>
              <w:marTop w:val="0"/>
              <w:marBottom w:val="0"/>
              <w:divBdr>
                <w:top w:val="none" w:sz="0" w:space="0" w:color="auto"/>
                <w:left w:val="none" w:sz="0" w:space="0" w:color="auto"/>
                <w:bottom w:val="none" w:sz="0" w:space="0" w:color="auto"/>
                <w:right w:val="none" w:sz="0" w:space="0" w:color="auto"/>
              </w:divBdr>
            </w:div>
          </w:divsChild>
        </w:div>
        <w:div w:id="192693717">
          <w:marLeft w:val="0"/>
          <w:marRight w:val="0"/>
          <w:marTop w:val="0"/>
          <w:marBottom w:val="0"/>
          <w:divBdr>
            <w:top w:val="none" w:sz="0" w:space="0" w:color="auto"/>
            <w:left w:val="none" w:sz="0" w:space="0" w:color="auto"/>
            <w:bottom w:val="none" w:sz="0" w:space="0" w:color="auto"/>
            <w:right w:val="none" w:sz="0" w:space="0" w:color="auto"/>
          </w:divBdr>
          <w:divsChild>
            <w:div w:id="2068646946">
              <w:marLeft w:val="0"/>
              <w:marRight w:val="0"/>
              <w:marTop w:val="0"/>
              <w:marBottom w:val="0"/>
              <w:divBdr>
                <w:top w:val="none" w:sz="0" w:space="0" w:color="auto"/>
                <w:left w:val="none" w:sz="0" w:space="0" w:color="auto"/>
                <w:bottom w:val="none" w:sz="0" w:space="0" w:color="auto"/>
                <w:right w:val="none" w:sz="0" w:space="0" w:color="auto"/>
              </w:divBdr>
            </w:div>
          </w:divsChild>
        </w:div>
        <w:div w:id="1620455131">
          <w:marLeft w:val="0"/>
          <w:marRight w:val="0"/>
          <w:marTop w:val="0"/>
          <w:marBottom w:val="0"/>
          <w:divBdr>
            <w:top w:val="none" w:sz="0" w:space="0" w:color="auto"/>
            <w:left w:val="none" w:sz="0" w:space="0" w:color="auto"/>
            <w:bottom w:val="none" w:sz="0" w:space="0" w:color="auto"/>
            <w:right w:val="none" w:sz="0" w:space="0" w:color="auto"/>
          </w:divBdr>
          <w:divsChild>
            <w:div w:id="562526489">
              <w:marLeft w:val="0"/>
              <w:marRight w:val="0"/>
              <w:marTop w:val="0"/>
              <w:marBottom w:val="0"/>
              <w:divBdr>
                <w:top w:val="none" w:sz="0" w:space="0" w:color="auto"/>
                <w:left w:val="none" w:sz="0" w:space="0" w:color="auto"/>
                <w:bottom w:val="none" w:sz="0" w:space="0" w:color="auto"/>
                <w:right w:val="none" w:sz="0" w:space="0" w:color="auto"/>
              </w:divBdr>
            </w:div>
          </w:divsChild>
        </w:div>
        <w:div w:id="282854514">
          <w:marLeft w:val="0"/>
          <w:marRight w:val="0"/>
          <w:marTop w:val="0"/>
          <w:marBottom w:val="0"/>
          <w:divBdr>
            <w:top w:val="none" w:sz="0" w:space="0" w:color="auto"/>
            <w:left w:val="none" w:sz="0" w:space="0" w:color="auto"/>
            <w:bottom w:val="none" w:sz="0" w:space="0" w:color="auto"/>
            <w:right w:val="none" w:sz="0" w:space="0" w:color="auto"/>
          </w:divBdr>
          <w:divsChild>
            <w:div w:id="765657208">
              <w:marLeft w:val="0"/>
              <w:marRight w:val="0"/>
              <w:marTop w:val="0"/>
              <w:marBottom w:val="0"/>
              <w:divBdr>
                <w:top w:val="none" w:sz="0" w:space="0" w:color="auto"/>
                <w:left w:val="none" w:sz="0" w:space="0" w:color="auto"/>
                <w:bottom w:val="none" w:sz="0" w:space="0" w:color="auto"/>
                <w:right w:val="none" w:sz="0" w:space="0" w:color="auto"/>
              </w:divBdr>
            </w:div>
          </w:divsChild>
        </w:div>
        <w:div w:id="1707440610">
          <w:marLeft w:val="0"/>
          <w:marRight w:val="0"/>
          <w:marTop w:val="0"/>
          <w:marBottom w:val="0"/>
          <w:divBdr>
            <w:top w:val="none" w:sz="0" w:space="0" w:color="auto"/>
            <w:left w:val="none" w:sz="0" w:space="0" w:color="auto"/>
            <w:bottom w:val="none" w:sz="0" w:space="0" w:color="auto"/>
            <w:right w:val="none" w:sz="0" w:space="0" w:color="auto"/>
          </w:divBdr>
          <w:divsChild>
            <w:div w:id="84696944">
              <w:marLeft w:val="0"/>
              <w:marRight w:val="0"/>
              <w:marTop w:val="0"/>
              <w:marBottom w:val="0"/>
              <w:divBdr>
                <w:top w:val="none" w:sz="0" w:space="0" w:color="auto"/>
                <w:left w:val="none" w:sz="0" w:space="0" w:color="auto"/>
                <w:bottom w:val="none" w:sz="0" w:space="0" w:color="auto"/>
                <w:right w:val="none" w:sz="0" w:space="0" w:color="auto"/>
              </w:divBdr>
            </w:div>
          </w:divsChild>
        </w:div>
        <w:div w:id="258371674">
          <w:marLeft w:val="0"/>
          <w:marRight w:val="0"/>
          <w:marTop w:val="0"/>
          <w:marBottom w:val="0"/>
          <w:divBdr>
            <w:top w:val="none" w:sz="0" w:space="0" w:color="auto"/>
            <w:left w:val="none" w:sz="0" w:space="0" w:color="auto"/>
            <w:bottom w:val="none" w:sz="0" w:space="0" w:color="auto"/>
            <w:right w:val="none" w:sz="0" w:space="0" w:color="auto"/>
          </w:divBdr>
          <w:divsChild>
            <w:div w:id="1870800719">
              <w:marLeft w:val="0"/>
              <w:marRight w:val="0"/>
              <w:marTop w:val="0"/>
              <w:marBottom w:val="0"/>
              <w:divBdr>
                <w:top w:val="none" w:sz="0" w:space="0" w:color="auto"/>
                <w:left w:val="none" w:sz="0" w:space="0" w:color="auto"/>
                <w:bottom w:val="none" w:sz="0" w:space="0" w:color="auto"/>
                <w:right w:val="none" w:sz="0" w:space="0" w:color="auto"/>
              </w:divBdr>
            </w:div>
          </w:divsChild>
        </w:div>
        <w:div w:id="1198472884">
          <w:marLeft w:val="0"/>
          <w:marRight w:val="0"/>
          <w:marTop w:val="0"/>
          <w:marBottom w:val="0"/>
          <w:divBdr>
            <w:top w:val="none" w:sz="0" w:space="0" w:color="auto"/>
            <w:left w:val="none" w:sz="0" w:space="0" w:color="auto"/>
            <w:bottom w:val="none" w:sz="0" w:space="0" w:color="auto"/>
            <w:right w:val="none" w:sz="0" w:space="0" w:color="auto"/>
          </w:divBdr>
          <w:divsChild>
            <w:div w:id="1640577180">
              <w:marLeft w:val="0"/>
              <w:marRight w:val="0"/>
              <w:marTop w:val="0"/>
              <w:marBottom w:val="0"/>
              <w:divBdr>
                <w:top w:val="none" w:sz="0" w:space="0" w:color="auto"/>
                <w:left w:val="none" w:sz="0" w:space="0" w:color="auto"/>
                <w:bottom w:val="none" w:sz="0" w:space="0" w:color="auto"/>
                <w:right w:val="none" w:sz="0" w:space="0" w:color="auto"/>
              </w:divBdr>
            </w:div>
          </w:divsChild>
        </w:div>
        <w:div w:id="2094234172">
          <w:marLeft w:val="0"/>
          <w:marRight w:val="0"/>
          <w:marTop w:val="0"/>
          <w:marBottom w:val="0"/>
          <w:divBdr>
            <w:top w:val="none" w:sz="0" w:space="0" w:color="auto"/>
            <w:left w:val="none" w:sz="0" w:space="0" w:color="auto"/>
            <w:bottom w:val="none" w:sz="0" w:space="0" w:color="auto"/>
            <w:right w:val="none" w:sz="0" w:space="0" w:color="auto"/>
          </w:divBdr>
          <w:divsChild>
            <w:div w:id="298729019">
              <w:marLeft w:val="0"/>
              <w:marRight w:val="0"/>
              <w:marTop w:val="0"/>
              <w:marBottom w:val="0"/>
              <w:divBdr>
                <w:top w:val="none" w:sz="0" w:space="0" w:color="auto"/>
                <w:left w:val="none" w:sz="0" w:space="0" w:color="auto"/>
                <w:bottom w:val="none" w:sz="0" w:space="0" w:color="auto"/>
                <w:right w:val="none" w:sz="0" w:space="0" w:color="auto"/>
              </w:divBdr>
            </w:div>
          </w:divsChild>
        </w:div>
        <w:div w:id="1616281217">
          <w:marLeft w:val="0"/>
          <w:marRight w:val="0"/>
          <w:marTop w:val="0"/>
          <w:marBottom w:val="0"/>
          <w:divBdr>
            <w:top w:val="none" w:sz="0" w:space="0" w:color="auto"/>
            <w:left w:val="none" w:sz="0" w:space="0" w:color="auto"/>
            <w:bottom w:val="none" w:sz="0" w:space="0" w:color="auto"/>
            <w:right w:val="none" w:sz="0" w:space="0" w:color="auto"/>
          </w:divBdr>
          <w:divsChild>
            <w:div w:id="155845318">
              <w:marLeft w:val="0"/>
              <w:marRight w:val="0"/>
              <w:marTop w:val="0"/>
              <w:marBottom w:val="0"/>
              <w:divBdr>
                <w:top w:val="none" w:sz="0" w:space="0" w:color="auto"/>
                <w:left w:val="none" w:sz="0" w:space="0" w:color="auto"/>
                <w:bottom w:val="none" w:sz="0" w:space="0" w:color="auto"/>
                <w:right w:val="none" w:sz="0" w:space="0" w:color="auto"/>
              </w:divBdr>
            </w:div>
          </w:divsChild>
        </w:div>
        <w:div w:id="503326974">
          <w:marLeft w:val="0"/>
          <w:marRight w:val="0"/>
          <w:marTop w:val="0"/>
          <w:marBottom w:val="0"/>
          <w:divBdr>
            <w:top w:val="none" w:sz="0" w:space="0" w:color="auto"/>
            <w:left w:val="none" w:sz="0" w:space="0" w:color="auto"/>
            <w:bottom w:val="none" w:sz="0" w:space="0" w:color="auto"/>
            <w:right w:val="none" w:sz="0" w:space="0" w:color="auto"/>
          </w:divBdr>
          <w:divsChild>
            <w:div w:id="1021319257">
              <w:marLeft w:val="0"/>
              <w:marRight w:val="0"/>
              <w:marTop w:val="0"/>
              <w:marBottom w:val="0"/>
              <w:divBdr>
                <w:top w:val="none" w:sz="0" w:space="0" w:color="auto"/>
                <w:left w:val="none" w:sz="0" w:space="0" w:color="auto"/>
                <w:bottom w:val="none" w:sz="0" w:space="0" w:color="auto"/>
                <w:right w:val="none" w:sz="0" w:space="0" w:color="auto"/>
              </w:divBdr>
            </w:div>
          </w:divsChild>
        </w:div>
        <w:div w:id="1572080409">
          <w:marLeft w:val="0"/>
          <w:marRight w:val="0"/>
          <w:marTop w:val="0"/>
          <w:marBottom w:val="0"/>
          <w:divBdr>
            <w:top w:val="none" w:sz="0" w:space="0" w:color="auto"/>
            <w:left w:val="none" w:sz="0" w:space="0" w:color="auto"/>
            <w:bottom w:val="none" w:sz="0" w:space="0" w:color="auto"/>
            <w:right w:val="none" w:sz="0" w:space="0" w:color="auto"/>
          </w:divBdr>
          <w:divsChild>
            <w:div w:id="694506234">
              <w:marLeft w:val="0"/>
              <w:marRight w:val="0"/>
              <w:marTop w:val="0"/>
              <w:marBottom w:val="0"/>
              <w:divBdr>
                <w:top w:val="none" w:sz="0" w:space="0" w:color="auto"/>
                <w:left w:val="none" w:sz="0" w:space="0" w:color="auto"/>
                <w:bottom w:val="none" w:sz="0" w:space="0" w:color="auto"/>
                <w:right w:val="none" w:sz="0" w:space="0" w:color="auto"/>
              </w:divBdr>
            </w:div>
          </w:divsChild>
        </w:div>
        <w:div w:id="517045214">
          <w:marLeft w:val="0"/>
          <w:marRight w:val="0"/>
          <w:marTop w:val="0"/>
          <w:marBottom w:val="0"/>
          <w:divBdr>
            <w:top w:val="none" w:sz="0" w:space="0" w:color="auto"/>
            <w:left w:val="none" w:sz="0" w:space="0" w:color="auto"/>
            <w:bottom w:val="none" w:sz="0" w:space="0" w:color="auto"/>
            <w:right w:val="none" w:sz="0" w:space="0" w:color="auto"/>
          </w:divBdr>
          <w:divsChild>
            <w:div w:id="1457989649">
              <w:marLeft w:val="0"/>
              <w:marRight w:val="0"/>
              <w:marTop w:val="0"/>
              <w:marBottom w:val="0"/>
              <w:divBdr>
                <w:top w:val="none" w:sz="0" w:space="0" w:color="auto"/>
                <w:left w:val="none" w:sz="0" w:space="0" w:color="auto"/>
                <w:bottom w:val="none" w:sz="0" w:space="0" w:color="auto"/>
                <w:right w:val="none" w:sz="0" w:space="0" w:color="auto"/>
              </w:divBdr>
            </w:div>
          </w:divsChild>
        </w:div>
        <w:div w:id="2048069127">
          <w:marLeft w:val="0"/>
          <w:marRight w:val="0"/>
          <w:marTop w:val="0"/>
          <w:marBottom w:val="0"/>
          <w:divBdr>
            <w:top w:val="none" w:sz="0" w:space="0" w:color="auto"/>
            <w:left w:val="none" w:sz="0" w:space="0" w:color="auto"/>
            <w:bottom w:val="none" w:sz="0" w:space="0" w:color="auto"/>
            <w:right w:val="none" w:sz="0" w:space="0" w:color="auto"/>
          </w:divBdr>
          <w:divsChild>
            <w:div w:id="281689072">
              <w:marLeft w:val="0"/>
              <w:marRight w:val="0"/>
              <w:marTop w:val="0"/>
              <w:marBottom w:val="0"/>
              <w:divBdr>
                <w:top w:val="none" w:sz="0" w:space="0" w:color="auto"/>
                <w:left w:val="none" w:sz="0" w:space="0" w:color="auto"/>
                <w:bottom w:val="none" w:sz="0" w:space="0" w:color="auto"/>
                <w:right w:val="none" w:sz="0" w:space="0" w:color="auto"/>
              </w:divBdr>
            </w:div>
          </w:divsChild>
        </w:div>
        <w:div w:id="1745294379">
          <w:marLeft w:val="0"/>
          <w:marRight w:val="0"/>
          <w:marTop w:val="0"/>
          <w:marBottom w:val="0"/>
          <w:divBdr>
            <w:top w:val="none" w:sz="0" w:space="0" w:color="auto"/>
            <w:left w:val="none" w:sz="0" w:space="0" w:color="auto"/>
            <w:bottom w:val="none" w:sz="0" w:space="0" w:color="auto"/>
            <w:right w:val="none" w:sz="0" w:space="0" w:color="auto"/>
          </w:divBdr>
          <w:divsChild>
            <w:div w:id="692655238">
              <w:marLeft w:val="0"/>
              <w:marRight w:val="0"/>
              <w:marTop w:val="0"/>
              <w:marBottom w:val="0"/>
              <w:divBdr>
                <w:top w:val="none" w:sz="0" w:space="0" w:color="auto"/>
                <w:left w:val="none" w:sz="0" w:space="0" w:color="auto"/>
                <w:bottom w:val="none" w:sz="0" w:space="0" w:color="auto"/>
                <w:right w:val="none" w:sz="0" w:space="0" w:color="auto"/>
              </w:divBdr>
            </w:div>
          </w:divsChild>
        </w:div>
        <w:div w:id="1066562300">
          <w:marLeft w:val="0"/>
          <w:marRight w:val="0"/>
          <w:marTop w:val="0"/>
          <w:marBottom w:val="0"/>
          <w:divBdr>
            <w:top w:val="none" w:sz="0" w:space="0" w:color="auto"/>
            <w:left w:val="none" w:sz="0" w:space="0" w:color="auto"/>
            <w:bottom w:val="none" w:sz="0" w:space="0" w:color="auto"/>
            <w:right w:val="none" w:sz="0" w:space="0" w:color="auto"/>
          </w:divBdr>
          <w:divsChild>
            <w:div w:id="1385173665">
              <w:marLeft w:val="0"/>
              <w:marRight w:val="0"/>
              <w:marTop w:val="0"/>
              <w:marBottom w:val="0"/>
              <w:divBdr>
                <w:top w:val="none" w:sz="0" w:space="0" w:color="auto"/>
                <w:left w:val="none" w:sz="0" w:space="0" w:color="auto"/>
                <w:bottom w:val="none" w:sz="0" w:space="0" w:color="auto"/>
                <w:right w:val="none" w:sz="0" w:space="0" w:color="auto"/>
              </w:divBdr>
            </w:div>
          </w:divsChild>
        </w:div>
        <w:div w:id="850798573">
          <w:marLeft w:val="0"/>
          <w:marRight w:val="0"/>
          <w:marTop w:val="0"/>
          <w:marBottom w:val="0"/>
          <w:divBdr>
            <w:top w:val="none" w:sz="0" w:space="0" w:color="auto"/>
            <w:left w:val="none" w:sz="0" w:space="0" w:color="auto"/>
            <w:bottom w:val="none" w:sz="0" w:space="0" w:color="auto"/>
            <w:right w:val="none" w:sz="0" w:space="0" w:color="auto"/>
          </w:divBdr>
          <w:divsChild>
            <w:div w:id="1564562452">
              <w:marLeft w:val="0"/>
              <w:marRight w:val="0"/>
              <w:marTop w:val="0"/>
              <w:marBottom w:val="0"/>
              <w:divBdr>
                <w:top w:val="none" w:sz="0" w:space="0" w:color="auto"/>
                <w:left w:val="none" w:sz="0" w:space="0" w:color="auto"/>
                <w:bottom w:val="none" w:sz="0" w:space="0" w:color="auto"/>
                <w:right w:val="none" w:sz="0" w:space="0" w:color="auto"/>
              </w:divBdr>
            </w:div>
          </w:divsChild>
        </w:div>
        <w:div w:id="1950967592">
          <w:marLeft w:val="0"/>
          <w:marRight w:val="0"/>
          <w:marTop w:val="0"/>
          <w:marBottom w:val="0"/>
          <w:divBdr>
            <w:top w:val="none" w:sz="0" w:space="0" w:color="auto"/>
            <w:left w:val="none" w:sz="0" w:space="0" w:color="auto"/>
            <w:bottom w:val="none" w:sz="0" w:space="0" w:color="auto"/>
            <w:right w:val="none" w:sz="0" w:space="0" w:color="auto"/>
          </w:divBdr>
          <w:divsChild>
            <w:div w:id="1419324882">
              <w:marLeft w:val="0"/>
              <w:marRight w:val="0"/>
              <w:marTop w:val="0"/>
              <w:marBottom w:val="0"/>
              <w:divBdr>
                <w:top w:val="none" w:sz="0" w:space="0" w:color="auto"/>
                <w:left w:val="none" w:sz="0" w:space="0" w:color="auto"/>
                <w:bottom w:val="none" w:sz="0" w:space="0" w:color="auto"/>
                <w:right w:val="none" w:sz="0" w:space="0" w:color="auto"/>
              </w:divBdr>
            </w:div>
          </w:divsChild>
        </w:div>
        <w:div w:id="1284921220">
          <w:marLeft w:val="0"/>
          <w:marRight w:val="0"/>
          <w:marTop w:val="0"/>
          <w:marBottom w:val="0"/>
          <w:divBdr>
            <w:top w:val="none" w:sz="0" w:space="0" w:color="auto"/>
            <w:left w:val="none" w:sz="0" w:space="0" w:color="auto"/>
            <w:bottom w:val="none" w:sz="0" w:space="0" w:color="auto"/>
            <w:right w:val="none" w:sz="0" w:space="0" w:color="auto"/>
          </w:divBdr>
          <w:divsChild>
            <w:div w:id="278024767">
              <w:marLeft w:val="0"/>
              <w:marRight w:val="0"/>
              <w:marTop w:val="0"/>
              <w:marBottom w:val="0"/>
              <w:divBdr>
                <w:top w:val="none" w:sz="0" w:space="0" w:color="auto"/>
                <w:left w:val="none" w:sz="0" w:space="0" w:color="auto"/>
                <w:bottom w:val="none" w:sz="0" w:space="0" w:color="auto"/>
                <w:right w:val="none" w:sz="0" w:space="0" w:color="auto"/>
              </w:divBdr>
            </w:div>
          </w:divsChild>
        </w:div>
        <w:div w:id="1898778432">
          <w:marLeft w:val="0"/>
          <w:marRight w:val="0"/>
          <w:marTop w:val="0"/>
          <w:marBottom w:val="0"/>
          <w:divBdr>
            <w:top w:val="none" w:sz="0" w:space="0" w:color="auto"/>
            <w:left w:val="none" w:sz="0" w:space="0" w:color="auto"/>
            <w:bottom w:val="none" w:sz="0" w:space="0" w:color="auto"/>
            <w:right w:val="none" w:sz="0" w:space="0" w:color="auto"/>
          </w:divBdr>
          <w:divsChild>
            <w:div w:id="86971506">
              <w:marLeft w:val="0"/>
              <w:marRight w:val="0"/>
              <w:marTop w:val="0"/>
              <w:marBottom w:val="0"/>
              <w:divBdr>
                <w:top w:val="none" w:sz="0" w:space="0" w:color="auto"/>
                <w:left w:val="none" w:sz="0" w:space="0" w:color="auto"/>
                <w:bottom w:val="none" w:sz="0" w:space="0" w:color="auto"/>
                <w:right w:val="none" w:sz="0" w:space="0" w:color="auto"/>
              </w:divBdr>
            </w:div>
          </w:divsChild>
        </w:div>
        <w:div w:id="1868760649">
          <w:marLeft w:val="0"/>
          <w:marRight w:val="0"/>
          <w:marTop w:val="0"/>
          <w:marBottom w:val="0"/>
          <w:divBdr>
            <w:top w:val="none" w:sz="0" w:space="0" w:color="auto"/>
            <w:left w:val="none" w:sz="0" w:space="0" w:color="auto"/>
            <w:bottom w:val="none" w:sz="0" w:space="0" w:color="auto"/>
            <w:right w:val="none" w:sz="0" w:space="0" w:color="auto"/>
          </w:divBdr>
          <w:divsChild>
            <w:div w:id="505441624">
              <w:marLeft w:val="0"/>
              <w:marRight w:val="0"/>
              <w:marTop w:val="0"/>
              <w:marBottom w:val="0"/>
              <w:divBdr>
                <w:top w:val="none" w:sz="0" w:space="0" w:color="auto"/>
                <w:left w:val="none" w:sz="0" w:space="0" w:color="auto"/>
                <w:bottom w:val="none" w:sz="0" w:space="0" w:color="auto"/>
                <w:right w:val="none" w:sz="0" w:space="0" w:color="auto"/>
              </w:divBdr>
            </w:div>
          </w:divsChild>
        </w:div>
        <w:div w:id="583956984">
          <w:marLeft w:val="0"/>
          <w:marRight w:val="0"/>
          <w:marTop w:val="0"/>
          <w:marBottom w:val="0"/>
          <w:divBdr>
            <w:top w:val="none" w:sz="0" w:space="0" w:color="auto"/>
            <w:left w:val="none" w:sz="0" w:space="0" w:color="auto"/>
            <w:bottom w:val="none" w:sz="0" w:space="0" w:color="auto"/>
            <w:right w:val="none" w:sz="0" w:space="0" w:color="auto"/>
          </w:divBdr>
          <w:divsChild>
            <w:div w:id="473723346">
              <w:marLeft w:val="0"/>
              <w:marRight w:val="0"/>
              <w:marTop w:val="0"/>
              <w:marBottom w:val="0"/>
              <w:divBdr>
                <w:top w:val="none" w:sz="0" w:space="0" w:color="auto"/>
                <w:left w:val="none" w:sz="0" w:space="0" w:color="auto"/>
                <w:bottom w:val="none" w:sz="0" w:space="0" w:color="auto"/>
                <w:right w:val="none" w:sz="0" w:space="0" w:color="auto"/>
              </w:divBdr>
            </w:div>
          </w:divsChild>
        </w:div>
        <w:div w:id="674116798">
          <w:marLeft w:val="0"/>
          <w:marRight w:val="0"/>
          <w:marTop w:val="0"/>
          <w:marBottom w:val="0"/>
          <w:divBdr>
            <w:top w:val="none" w:sz="0" w:space="0" w:color="auto"/>
            <w:left w:val="none" w:sz="0" w:space="0" w:color="auto"/>
            <w:bottom w:val="none" w:sz="0" w:space="0" w:color="auto"/>
            <w:right w:val="none" w:sz="0" w:space="0" w:color="auto"/>
          </w:divBdr>
          <w:divsChild>
            <w:div w:id="1488204588">
              <w:marLeft w:val="0"/>
              <w:marRight w:val="0"/>
              <w:marTop w:val="0"/>
              <w:marBottom w:val="0"/>
              <w:divBdr>
                <w:top w:val="none" w:sz="0" w:space="0" w:color="auto"/>
                <w:left w:val="none" w:sz="0" w:space="0" w:color="auto"/>
                <w:bottom w:val="none" w:sz="0" w:space="0" w:color="auto"/>
                <w:right w:val="none" w:sz="0" w:space="0" w:color="auto"/>
              </w:divBdr>
            </w:div>
          </w:divsChild>
        </w:div>
        <w:div w:id="732965983">
          <w:marLeft w:val="0"/>
          <w:marRight w:val="0"/>
          <w:marTop w:val="0"/>
          <w:marBottom w:val="0"/>
          <w:divBdr>
            <w:top w:val="none" w:sz="0" w:space="0" w:color="auto"/>
            <w:left w:val="none" w:sz="0" w:space="0" w:color="auto"/>
            <w:bottom w:val="none" w:sz="0" w:space="0" w:color="auto"/>
            <w:right w:val="none" w:sz="0" w:space="0" w:color="auto"/>
          </w:divBdr>
          <w:divsChild>
            <w:div w:id="1846356295">
              <w:marLeft w:val="0"/>
              <w:marRight w:val="0"/>
              <w:marTop w:val="0"/>
              <w:marBottom w:val="0"/>
              <w:divBdr>
                <w:top w:val="none" w:sz="0" w:space="0" w:color="auto"/>
                <w:left w:val="none" w:sz="0" w:space="0" w:color="auto"/>
                <w:bottom w:val="none" w:sz="0" w:space="0" w:color="auto"/>
                <w:right w:val="none" w:sz="0" w:space="0" w:color="auto"/>
              </w:divBdr>
            </w:div>
          </w:divsChild>
        </w:div>
        <w:div w:id="1244684940">
          <w:marLeft w:val="0"/>
          <w:marRight w:val="0"/>
          <w:marTop w:val="0"/>
          <w:marBottom w:val="0"/>
          <w:divBdr>
            <w:top w:val="none" w:sz="0" w:space="0" w:color="auto"/>
            <w:left w:val="none" w:sz="0" w:space="0" w:color="auto"/>
            <w:bottom w:val="none" w:sz="0" w:space="0" w:color="auto"/>
            <w:right w:val="none" w:sz="0" w:space="0" w:color="auto"/>
          </w:divBdr>
          <w:divsChild>
            <w:div w:id="1393692785">
              <w:marLeft w:val="0"/>
              <w:marRight w:val="0"/>
              <w:marTop w:val="0"/>
              <w:marBottom w:val="0"/>
              <w:divBdr>
                <w:top w:val="none" w:sz="0" w:space="0" w:color="auto"/>
                <w:left w:val="none" w:sz="0" w:space="0" w:color="auto"/>
                <w:bottom w:val="none" w:sz="0" w:space="0" w:color="auto"/>
                <w:right w:val="none" w:sz="0" w:space="0" w:color="auto"/>
              </w:divBdr>
            </w:div>
          </w:divsChild>
        </w:div>
        <w:div w:id="8681603">
          <w:marLeft w:val="0"/>
          <w:marRight w:val="0"/>
          <w:marTop w:val="0"/>
          <w:marBottom w:val="0"/>
          <w:divBdr>
            <w:top w:val="none" w:sz="0" w:space="0" w:color="auto"/>
            <w:left w:val="none" w:sz="0" w:space="0" w:color="auto"/>
            <w:bottom w:val="none" w:sz="0" w:space="0" w:color="auto"/>
            <w:right w:val="none" w:sz="0" w:space="0" w:color="auto"/>
          </w:divBdr>
          <w:divsChild>
            <w:div w:id="1109853024">
              <w:marLeft w:val="0"/>
              <w:marRight w:val="0"/>
              <w:marTop w:val="0"/>
              <w:marBottom w:val="0"/>
              <w:divBdr>
                <w:top w:val="none" w:sz="0" w:space="0" w:color="auto"/>
                <w:left w:val="none" w:sz="0" w:space="0" w:color="auto"/>
                <w:bottom w:val="none" w:sz="0" w:space="0" w:color="auto"/>
                <w:right w:val="none" w:sz="0" w:space="0" w:color="auto"/>
              </w:divBdr>
            </w:div>
          </w:divsChild>
        </w:div>
        <w:div w:id="63721103">
          <w:marLeft w:val="0"/>
          <w:marRight w:val="0"/>
          <w:marTop w:val="0"/>
          <w:marBottom w:val="0"/>
          <w:divBdr>
            <w:top w:val="none" w:sz="0" w:space="0" w:color="auto"/>
            <w:left w:val="none" w:sz="0" w:space="0" w:color="auto"/>
            <w:bottom w:val="none" w:sz="0" w:space="0" w:color="auto"/>
            <w:right w:val="none" w:sz="0" w:space="0" w:color="auto"/>
          </w:divBdr>
          <w:divsChild>
            <w:div w:id="1401171651">
              <w:marLeft w:val="0"/>
              <w:marRight w:val="0"/>
              <w:marTop w:val="0"/>
              <w:marBottom w:val="0"/>
              <w:divBdr>
                <w:top w:val="none" w:sz="0" w:space="0" w:color="auto"/>
                <w:left w:val="none" w:sz="0" w:space="0" w:color="auto"/>
                <w:bottom w:val="none" w:sz="0" w:space="0" w:color="auto"/>
                <w:right w:val="none" w:sz="0" w:space="0" w:color="auto"/>
              </w:divBdr>
            </w:div>
          </w:divsChild>
        </w:div>
        <w:div w:id="159081946">
          <w:marLeft w:val="0"/>
          <w:marRight w:val="0"/>
          <w:marTop w:val="0"/>
          <w:marBottom w:val="0"/>
          <w:divBdr>
            <w:top w:val="none" w:sz="0" w:space="0" w:color="auto"/>
            <w:left w:val="none" w:sz="0" w:space="0" w:color="auto"/>
            <w:bottom w:val="none" w:sz="0" w:space="0" w:color="auto"/>
            <w:right w:val="none" w:sz="0" w:space="0" w:color="auto"/>
          </w:divBdr>
          <w:divsChild>
            <w:div w:id="1801456437">
              <w:marLeft w:val="0"/>
              <w:marRight w:val="0"/>
              <w:marTop w:val="0"/>
              <w:marBottom w:val="0"/>
              <w:divBdr>
                <w:top w:val="none" w:sz="0" w:space="0" w:color="auto"/>
                <w:left w:val="none" w:sz="0" w:space="0" w:color="auto"/>
                <w:bottom w:val="none" w:sz="0" w:space="0" w:color="auto"/>
                <w:right w:val="none" w:sz="0" w:space="0" w:color="auto"/>
              </w:divBdr>
            </w:div>
          </w:divsChild>
        </w:div>
        <w:div w:id="1508785327">
          <w:marLeft w:val="0"/>
          <w:marRight w:val="0"/>
          <w:marTop w:val="0"/>
          <w:marBottom w:val="0"/>
          <w:divBdr>
            <w:top w:val="none" w:sz="0" w:space="0" w:color="auto"/>
            <w:left w:val="none" w:sz="0" w:space="0" w:color="auto"/>
            <w:bottom w:val="none" w:sz="0" w:space="0" w:color="auto"/>
            <w:right w:val="none" w:sz="0" w:space="0" w:color="auto"/>
          </w:divBdr>
          <w:divsChild>
            <w:div w:id="247350906">
              <w:marLeft w:val="0"/>
              <w:marRight w:val="0"/>
              <w:marTop w:val="0"/>
              <w:marBottom w:val="0"/>
              <w:divBdr>
                <w:top w:val="none" w:sz="0" w:space="0" w:color="auto"/>
                <w:left w:val="none" w:sz="0" w:space="0" w:color="auto"/>
                <w:bottom w:val="none" w:sz="0" w:space="0" w:color="auto"/>
                <w:right w:val="none" w:sz="0" w:space="0" w:color="auto"/>
              </w:divBdr>
            </w:div>
          </w:divsChild>
        </w:div>
        <w:div w:id="775559871">
          <w:marLeft w:val="0"/>
          <w:marRight w:val="0"/>
          <w:marTop w:val="0"/>
          <w:marBottom w:val="0"/>
          <w:divBdr>
            <w:top w:val="none" w:sz="0" w:space="0" w:color="auto"/>
            <w:left w:val="none" w:sz="0" w:space="0" w:color="auto"/>
            <w:bottom w:val="none" w:sz="0" w:space="0" w:color="auto"/>
            <w:right w:val="none" w:sz="0" w:space="0" w:color="auto"/>
          </w:divBdr>
          <w:divsChild>
            <w:div w:id="495655398">
              <w:marLeft w:val="0"/>
              <w:marRight w:val="0"/>
              <w:marTop w:val="0"/>
              <w:marBottom w:val="0"/>
              <w:divBdr>
                <w:top w:val="none" w:sz="0" w:space="0" w:color="auto"/>
                <w:left w:val="none" w:sz="0" w:space="0" w:color="auto"/>
                <w:bottom w:val="none" w:sz="0" w:space="0" w:color="auto"/>
                <w:right w:val="none" w:sz="0" w:space="0" w:color="auto"/>
              </w:divBdr>
            </w:div>
          </w:divsChild>
        </w:div>
        <w:div w:id="803472627">
          <w:marLeft w:val="0"/>
          <w:marRight w:val="0"/>
          <w:marTop w:val="0"/>
          <w:marBottom w:val="0"/>
          <w:divBdr>
            <w:top w:val="none" w:sz="0" w:space="0" w:color="auto"/>
            <w:left w:val="none" w:sz="0" w:space="0" w:color="auto"/>
            <w:bottom w:val="none" w:sz="0" w:space="0" w:color="auto"/>
            <w:right w:val="none" w:sz="0" w:space="0" w:color="auto"/>
          </w:divBdr>
          <w:divsChild>
            <w:div w:id="708798292">
              <w:marLeft w:val="0"/>
              <w:marRight w:val="0"/>
              <w:marTop w:val="0"/>
              <w:marBottom w:val="0"/>
              <w:divBdr>
                <w:top w:val="none" w:sz="0" w:space="0" w:color="auto"/>
                <w:left w:val="none" w:sz="0" w:space="0" w:color="auto"/>
                <w:bottom w:val="none" w:sz="0" w:space="0" w:color="auto"/>
                <w:right w:val="none" w:sz="0" w:space="0" w:color="auto"/>
              </w:divBdr>
            </w:div>
          </w:divsChild>
        </w:div>
        <w:div w:id="267739309">
          <w:marLeft w:val="0"/>
          <w:marRight w:val="0"/>
          <w:marTop w:val="0"/>
          <w:marBottom w:val="0"/>
          <w:divBdr>
            <w:top w:val="none" w:sz="0" w:space="0" w:color="auto"/>
            <w:left w:val="none" w:sz="0" w:space="0" w:color="auto"/>
            <w:bottom w:val="none" w:sz="0" w:space="0" w:color="auto"/>
            <w:right w:val="none" w:sz="0" w:space="0" w:color="auto"/>
          </w:divBdr>
          <w:divsChild>
            <w:div w:id="1798184906">
              <w:marLeft w:val="0"/>
              <w:marRight w:val="0"/>
              <w:marTop w:val="0"/>
              <w:marBottom w:val="0"/>
              <w:divBdr>
                <w:top w:val="none" w:sz="0" w:space="0" w:color="auto"/>
                <w:left w:val="none" w:sz="0" w:space="0" w:color="auto"/>
                <w:bottom w:val="none" w:sz="0" w:space="0" w:color="auto"/>
                <w:right w:val="none" w:sz="0" w:space="0" w:color="auto"/>
              </w:divBdr>
            </w:div>
          </w:divsChild>
        </w:div>
        <w:div w:id="477115018">
          <w:marLeft w:val="0"/>
          <w:marRight w:val="0"/>
          <w:marTop w:val="0"/>
          <w:marBottom w:val="0"/>
          <w:divBdr>
            <w:top w:val="none" w:sz="0" w:space="0" w:color="auto"/>
            <w:left w:val="none" w:sz="0" w:space="0" w:color="auto"/>
            <w:bottom w:val="none" w:sz="0" w:space="0" w:color="auto"/>
            <w:right w:val="none" w:sz="0" w:space="0" w:color="auto"/>
          </w:divBdr>
          <w:divsChild>
            <w:div w:id="1860701032">
              <w:marLeft w:val="0"/>
              <w:marRight w:val="0"/>
              <w:marTop w:val="0"/>
              <w:marBottom w:val="0"/>
              <w:divBdr>
                <w:top w:val="none" w:sz="0" w:space="0" w:color="auto"/>
                <w:left w:val="none" w:sz="0" w:space="0" w:color="auto"/>
                <w:bottom w:val="none" w:sz="0" w:space="0" w:color="auto"/>
                <w:right w:val="none" w:sz="0" w:space="0" w:color="auto"/>
              </w:divBdr>
            </w:div>
          </w:divsChild>
        </w:div>
        <w:div w:id="102312183">
          <w:marLeft w:val="0"/>
          <w:marRight w:val="0"/>
          <w:marTop w:val="0"/>
          <w:marBottom w:val="0"/>
          <w:divBdr>
            <w:top w:val="none" w:sz="0" w:space="0" w:color="auto"/>
            <w:left w:val="none" w:sz="0" w:space="0" w:color="auto"/>
            <w:bottom w:val="none" w:sz="0" w:space="0" w:color="auto"/>
            <w:right w:val="none" w:sz="0" w:space="0" w:color="auto"/>
          </w:divBdr>
          <w:divsChild>
            <w:div w:id="2005667884">
              <w:marLeft w:val="0"/>
              <w:marRight w:val="0"/>
              <w:marTop w:val="0"/>
              <w:marBottom w:val="0"/>
              <w:divBdr>
                <w:top w:val="none" w:sz="0" w:space="0" w:color="auto"/>
                <w:left w:val="none" w:sz="0" w:space="0" w:color="auto"/>
                <w:bottom w:val="none" w:sz="0" w:space="0" w:color="auto"/>
                <w:right w:val="none" w:sz="0" w:space="0" w:color="auto"/>
              </w:divBdr>
            </w:div>
          </w:divsChild>
        </w:div>
        <w:div w:id="1585601099">
          <w:marLeft w:val="0"/>
          <w:marRight w:val="0"/>
          <w:marTop w:val="0"/>
          <w:marBottom w:val="0"/>
          <w:divBdr>
            <w:top w:val="none" w:sz="0" w:space="0" w:color="auto"/>
            <w:left w:val="none" w:sz="0" w:space="0" w:color="auto"/>
            <w:bottom w:val="none" w:sz="0" w:space="0" w:color="auto"/>
            <w:right w:val="none" w:sz="0" w:space="0" w:color="auto"/>
          </w:divBdr>
          <w:divsChild>
            <w:div w:id="621955847">
              <w:marLeft w:val="0"/>
              <w:marRight w:val="0"/>
              <w:marTop w:val="0"/>
              <w:marBottom w:val="0"/>
              <w:divBdr>
                <w:top w:val="none" w:sz="0" w:space="0" w:color="auto"/>
                <w:left w:val="none" w:sz="0" w:space="0" w:color="auto"/>
                <w:bottom w:val="none" w:sz="0" w:space="0" w:color="auto"/>
                <w:right w:val="none" w:sz="0" w:space="0" w:color="auto"/>
              </w:divBdr>
            </w:div>
          </w:divsChild>
        </w:div>
        <w:div w:id="1687519139">
          <w:marLeft w:val="0"/>
          <w:marRight w:val="0"/>
          <w:marTop w:val="0"/>
          <w:marBottom w:val="0"/>
          <w:divBdr>
            <w:top w:val="none" w:sz="0" w:space="0" w:color="auto"/>
            <w:left w:val="none" w:sz="0" w:space="0" w:color="auto"/>
            <w:bottom w:val="none" w:sz="0" w:space="0" w:color="auto"/>
            <w:right w:val="none" w:sz="0" w:space="0" w:color="auto"/>
          </w:divBdr>
          <w:divsChild>
            <w:div w:id="541291387">
              <w:marLeft w:val="0"/>
              <w:marRight w:val="0"/>
              <w:marTop w:val="0"/>
              <w:marBottom w:val="0"/>
              <w:divBdr>
                <w:top w:val="none" w:sz="0" w:space="0" w:color="auto"/>
                <w:left w:val="none" w:sz="0" w:space="0" w:color="auto"/>
                <w:bottom w:val="none" w:sz="0" w:space="0" w:color="auto"/>
                <w:right w:val="none" w:sz="0" w:space="0" w:color="auto"/>
              </w:divBdr>
            </w:div>
          </w:divsChild>
        </w:div>
        <w:div w:id="557280389">
          <w:marLeft w:val="0"/>
          <w:marRight w:val="0"/>
          <w:marTop w:val="0"/>
          <w:marBottom w:val="0"/>
          <w:divBdr>
            <w:top w:val="none" w:sz="0" w:space="0" w:color="auto"/>
            <w:left w:val="none" w:sz="0" w:space="0" w:color="auto"/>
            <w:bottom w:val="none" w:sz="0" w:space="0" w:color="auto"/>
            <w:right w:val="none" w:sz="0" w:space="0" w:color="auto"/>
          </w:divBdr>
          <w:divsChild>
            <w:div w:id="797259497">
              <w:marLeft w:val="0"/>
              <w:marRight w:val="0"/>
              <w:marTop w:val="0"/>
              <w:marBottom w:val="0"/>
              <w:divBdr>
                <w:top w:val="none" w:sz="0" w:space="0" w:color="auto"/>
                <w:left w:val="none" w:sz="0" w:space="0" w:color="auto"/>
                <w:bottom w:val="none" w:sz="0" w:space="0" w:color="auto"/>
                <w:right w:val="none" w:sz="0" w:space="0" w:color="auto"/>
              </w:divBdr>
            </w:div>
          </w:divsChild>
        </w:div>
        <w:div w:id="2029674024">
          <w:marLeft w:val="0"/>
          <w:marRight w:val="0"/>
          <w:marTop w:val="0"/>
          <w:marBottom w:val="0"/>
          <w:divBdr>
            <w:top w:val="none" w:sz="0" w:space="0" w:color="auto"/>
            <w:left w:val="none" w:sz="0" w:space="0" w:color="auto"/>
            <w:bottom w:val="none" w:sz="0" w:space="0" w:color="auto"/>
            <w:right w:val="none" w:sz="0" w:space="0" w:color="auto"/>
          </w:divBdr>
          <w:divsChild>
            <w:div w:id="1313757006">
              <w:marLeft w:val="0"/>
              <w:marRight w:val="0"/>
              <w:marTop w:val="0"/>
              <w:marBottom w:val="0"/>
              <w:divBdr>
                <w:top w:val="none" w:sz="0" w:space="0" w:color="auto"/>
                <w:left w:val="none" w:sz="0" w:space="0" w:color="auto"/>
                <w:bottom w:val="none" w:sz="0" w:space="0" w:color="auto"/>
                <w:right w:val="none" w:sz="0" w:space="0" w:color="auto"/>
              </w:divBdr>
            </w:div>
          </w:divsChild>
        </w:div>
        <w:div w:id="1696492356">
          <w:marLeft w:val="0"/>
          <w:marRight w:val="0"/>
          <w:marTop w:val="0"/>
          <w:marBottom w:val="0"/>
          <w:divBdr>
            <w:top w:val="none" w:sz="0" w:space="0" w:color="auto"/>
            <w:left w:val="none" w:sz="0" w:space="0" w:color="auto"/>
            <w:bottom w:val="none" w:sz="0" w:space="0" w:color="auto"/>
            <w:right w:val="none" w:sz="0" w:space="0" w:color="auto"/>
          </w:divBdr>
          <w:divsChild>
            <w:div w:id="1307273469">
              <w:marLeft w:val="0"/>
              <w:marRight w:val="0"/>
              <w:marTop w:val="0"/>
              <w:marBottom w:val="0"/>
              <w:divBdr>
                <w:top w:val="none" w:sz="0" w:space="0" w:color="auto"/>
                <w:left w:val="none" w:sz="0" w:space="0" w:color="auto"/>
                <w:bottom w:val="none" w:sz="0" w:space="0" w:color="auto"/>
                <w:right w:val="none" w:sz="0" w:space="0" w:color="auto"/>
              </w:divBdr>
            </w:div>
          </w:divsChild>
        </w:div>
        <w:div w:id="1205672778">
          <w:marLeft w:val="0"/>
          <w:marRight w:val="0"/>
          <w:marTop w:val="0"/>
          <w:marBottom w:val="0"/>
          <w:divBdr>
            <w:top w:val="none" w:sz="0" w:space="0" w:color="auto"/>
            <w:left w:val="none" w:sz="0" w:space="0" w:color="auto"/>
            <w:bottom w:val="none" w:sz="0" w:space="0" w:color="auto"/>
            <w:right w:val="none" w:sz="0" w:space="0" w:color="auto"/>
          </w:divBdr>
          <w:divsChild>
            <w:div w:id="784151304">
              <w:marLeft w:val="0"/>
              <w:marRight w:val="0"/>
              <w:marTop w:val="0"/>
              <w:marBottom w:val="0"/>
              <w:divBdr>
                <w:top w:val="none" w:sz="0" w:space="0" w:color="auto"/>
                <w:left w:val="none" w:sz="0" w:space="0" w:color="auto"/>
                <w:bottom w:val="none" w:sz="0" w:space="0" w:color="auto"/>
                <w:right w:val="none" w:sz="0" w:space="0" w:color="auto"/>
              </w:divBdr>
            </w:div>
          </w:divsChild>
        </w:div>
        <w:div w:id="720398307">
          <w:marLeft w:val="0"/>
          <w:marRight w:val="0"/>
          <w:marTop w:val="0"/>
          <w:marBottom w:val="0"/>
          <w:divBdr>
            <w:top w:val="none" w:sz="0" w:space="0" w:color="auto"/>
            <w:left w:val="none" w:sz="0" w:space="0" w:color="auto"/>
            <w:bottom w:val="none" w:sz="0" w:space="0" w:color="auto"/>
            <w:right w:val="none" w:sz="0" w:space="0" w:color="auto"/>
          </w:divBdr>
          <w:divsChild>
            <w:div w:id="1835872671">
              <w:marLeft w:val="0"/>
              <w:marRight w:val="0"/>
              <w:marTop w:val="0"/>
              <w:marBottom w:val="0"/>
              <w:divBdr>
                <w:top w:val="none" w:sz="0" w:space="0" w:color="auto"/>
                <w:left w:val="none" w:sz="0" w:space="0" w:color="auto"/>
                <w:bottom w:val="none" w:sz="0" w:space="0" w:color="auto"/>
                <w:right w:val="none" w:sz="0" w:space="0" w:color="auto"/>
              </w:divBdr>
            </w:div>
          </w:divsChild>
        </w:div>
        <w:div w:id="776948419">
          <w:marLeft w:val="0"/>
          <w:marRight w:val="0"/>
          <w:marTop w:val="0"/>
          <w:marBottom w:val="0"/>
          <w:divBdr>
            <w:top w:val="none" w:sz="0" w:space="0" w:color="auto"/>
            <w:left w:val="none" w:sz="0" w:space="0" w:color="auto"/>
            <w:bottom w:val="none" w:sz="0" w:space="0" w:color="auto"/>
            <w:right w:val="none" w:sz="0" w:space="0" w:color="auto"/>
          </w:divBdr>
          <w:divsChild>
            <w:div w:id="677465688">
              <w:marLeft w:val="0"/>
              <w:marRight w:val="0"/>
              <w:marTop w:val="0"/>
              <w:marBottom w:val="0"/>
              <w:divBdr>
                <w:top w:val="none" w:sz="0" w:space="0" w:color="auto"/>
                <w:left w:val="none" w:sz="0" w:space="0" w:color="auto"/>
                <w:bottom w:val="none" w:sz="0" w:space="0" w:color="auto"/>
                <w:right w:val="none" w:sz="0" w:space="0" w:color="auto"/>
              </w:divBdr>
            </w:div>
          </w:divsChild>
        </w:div>
        <w:div w:id="439567810">
          <w:marLeft w:val="0"/>
          <w:marRight w:val="0"/>
          <w:marTop w:val="0"/>
          <w:marBottom w:val="0"/>
          <w:divBdr>
            <w:top w:val="none" w:sz="0" w:space="0" w:color="auto"/>
            <w:left w:val="none" w:sz="0" w:space="0" w:color="auto"/>
            <w:bottom w:val="none" w:sz="0" w:space="0" w:color="auto"/>
            <w:right w:val="none" w:sz="0" w:space="0" w:color="auto"/>
          </w:divBdr>
          <w:divsChild>
            <w:div w:id="1194726699">
              <w:marLeft w:val="0"/>
              <w:marRight w:val="0"/>
              <w:marTop w:val="0"/>
              <w:marBottom w:val="0"/>
              <w:divBdr>
                <w:top w:val="none" w:sz="0" w:space="0" w:color="auto"/>
                <w:left w:val="none" w:sz="0" w:space="0" w:color="auto"/>
                <w:bottom w:val="none" w:sz="0" w:space="0" w:color="auto"/>
                <w:right w:val="none" w:sz="0" w:space="0" w:color="auto"/>
              </w:divBdr>
            </w:div>
          </w:divsChild>
        </w:div>
        <w:div w:id="1368020255">
          <w:marLeft w:val="0"/>
          <w:marRight w:val="0"/>
          <w:marTop w:val="0"/>
          <w:marBottom w:val="0"/>
          <w:divBdr>
            <w:top w:val="none" w:sz="0" w:space="0" w:color="auto"/>
            <w:left w:val="none" w:sz="0" w:space="0" w:color="auto"/>
            <w:bottom w:val="none" w:sz="0" w:space="0" w:color="auto"/>
            <w:right w:val="none" w:sz="0" w:space="0" w:color="auto"/>
          </w:divBdr>
          <w:divsChild>
            <w:div w:id="1397514639">
              <w:marLeft w:val="0"/>
              <w:marRight w:val="0"/>
              <w:marTop w:val="0"/>
              <w:marBottom w:val="0"/>
              <w:divBdr>
                <w:top w:val="none" w:sz="0" w:space="0" w:color="auto"/>
                <w:left w:val="none" w:sz="0" w:space="0" w:color="auto"/>
                <w:bottom w:val="none" w:sz="0" w:space="0" w:color="auto"/>
                <w:right w:val="none" w:sz="0" w:space="0" w:color="auto"/>
              </w:divBdr>
            </w:div>
          </w:divsChild>
        </w:div>
        <w:div w:id="97919822">
          <w:marLeft w:val="0"/>
          <w:marRight w:val="0"/>
          <w:marTop w:val="0"/>
          <w:marBottom w:val="0"/>
          <w:divBdr>
            <w:top w:val="none" w:sz="0" w:space="0" w:color="auto"/>
            <w:left w:val="none" w:sz="0" w:space="0" w:color="auto"/>
            <w:bottom w:val="none" w:sz="0" w:space="0" w:color="auto"/>
            <w:right w:val="none" w:sz="0" w:space="0" w:color="auto"/>
          </w:divBdr>
          <w:divsChild>
            <w:div w:id="482162895">
              <w:marLeft w:val="0"/>
              <w:marRight w:val="0"/>
              <w:marTop w:val="0"/>
              <w:marBottom w:val="0"/>
              <w:divBdr>
                <w:top w:val="none" w:sz="0" w:space="0" w:color="auto"/>
                <w:left w:val="none" w:sz="0" w:space="0" w:color="auto"/>
                <w:bottom w:val="none" w:sz="0" w:space="0" w:color="auto"/>
                <w:right w:val="none" w:sz="0" w:space="0" w:color="auto"/>
              </w:divBdr>
            </w:div>
          </w:divsChild>
        </w:div>
        <w:div w:id="1743405121">
          <w:marLeft w:val="0"/>
          <w:marRight w:val="0"/>
          <w:marTop w:val="0"/>
          <w:marBottom w:val="0"/>
          <w:divBdr>
            <w:top w:val="none" w:sz="0" w:space="0" w:color="auto"/>
            <w:left w:val="none" w:sz="0" w:space="0" w:color="auto"/>
            <w:bottom w:val="none" w:sz="0" w:space="0" w:color="auto"/>
            <w:right w:val="none" w:sz="0" w:space="0" w:color="auto"/>
          </w:divBdr>
          <w:divsChild>
            <w:div w:id="1970865262">
              <w:marLeft w:val="0"/>
              <w:marRight w:val="0"/>
              <w:marTop w:val="0"/>
              <w:marBottom w:val="0"/>
              <w:divBdr>
                <w:top w:val="none" w:sz="0" w:space="0" w:color="auto"/>
                <w:left w:val="none" w:sz="0" w:space="0" w:color="auto"/>
                <w:bottom w:val="none" w:sz="0" w:space="0" w:color="auto"/>
                <w:right w:val="none" w:sz="0" w:space="0" w:color="auto"/>
              </w:divBdr>
            </w:div>
          </w:divsChild>
        </w:div>
        <w:div w:id="100345656">
          <w:marLeft w:val="0"/>
          <w:marRight w:val="0"/>
          <w:marTop w:val="0"/>
          <w:marBottom w:val="0"/>
          <w:divBdr>
            <w:top w:val="none" w:sz="0" w:space="0" w:color="auto"/>
            <w:left w:val="none" w:sz="0" w:space="0" w:color="auto"/>
            <w:bottom w:val="none" w:sz="0" w:space="0" w:color="auto"/>
            <w:right w:val="none" w:sz="0" w:space="0" w:color="auto"/>
          </w:divBdr>
          <w:divsChild>
            <w:div w:id="302731853">
              <w:marLeft w:val="0"/>
              <w:marRight w:val="0"/>
              <w:marTop w:val="0"/>
              <w:marBottom w:val="0"/>
              <w:divBdr>
                <w:top w:val="none" w:sz="0" w:space="0" w:color="auto"/>
                <w:left w:val="none" w:sz="0" w:space="0" w:color="auto"/>
                <w:bottom w:val="none" w:sz="0" w:space="0" w:color="auto"/>
                <w:right w:val="none" w:sz="0" w:space="0" w:color="auto"/>
              </w:divBdr>
            </w:div>
          </w:divsChild>
        </w:div>
        <w:div w:id="1699116136">
          <w:marLeft w:val="0"/>
          <w:marRight w:val="0"/>
          <w:marTop w:val="0"/>
          <w:marBottom w:val="0"/>
          <w:divBdr>
            <w:top w:val="none" w:sz="0" w:space="0" w:color="auto"/>
            <w:left w:val="none" w:sz="0" w:space="0" w:color="auto"/>
            <w:bottom w:val="none" w:sz="0" w:space="0" w:color="auto"/>
            <w:right w:val="none" w:sz="0" w:space="0" w:color="auto"/>
          </w:divBdr>
          <w:divsChild>
            <w:div w:id="768740532">
              <w:marLeft w:val="0"/>
              <w:marRight w:val="0"/>
              <w:marTop w:val="0"/>
              <w:marBottom w:val="0"/>
              <w:divBdr>
                <w:top w:val="none" w:sz="0" w:space="0" w:color="auto"/>
                <w:left w:val="none" w:sz="0" w:space="0" w:color="auto"/>
                <w:bottom w:val="none" w:sz="0" w:space="0" w:color="auto"/>
                <w:right w:val="none" w:sz="0" w:space="0" w:color="auto"/>
              </w:divBdr>
            </w:div>
          </w:divsChild>
        </w:div>
        <w:div w:id="842940402">
          <w:marLeft w:val="0"/>
          <w:marRight w:val="0"/>
          <w:marTop w:val="0"/>
          <w:marBottom w:val="0"/>
          <w:divBdr>
            <w:top w:val="none" w:sz="0" w:space="0" w:color="auto"/>
            <w:left w:val="none" w:sz="0" w:space="0" w:color="auto"/>
            <w:bottom w:val="none" w:sz="0" w:space="0" w:color="auto"/>
            <w:right w:val="none" w:sz="0" w:space="0" w:color="auto"/>
          </w:divBdr>
          <w:divsChild>
            <w:div w:id="1617708852">
              <w:marLeft w:val="0"/>
              <w:marRight w:val="0"/>
              <w:marTop w:val="0"/>
              <w:marBottom w:val="0"/>
              <w:divBdr>
                <w:top w:val="none" w:sz="0" w:space="0" w:color="auto"/>
                <w:left w:val="none" w:sz="0" w:space="0" w:color="auto"/>
                <w:bottom w:val="none" w:sz="0" w:space="0" w:color="auto"/>
                <w:right w:val="none" w:sz="0" w:space="0" w:color="auto"/>
              </w:divBdr>
            </w:div>
          </w:divsChild>
        </w:div>
        <w:div w:id="1179732647">
          <w:marLeft w:val="0"/>
          <w:marRight w:val="0"/>
          <w:marTop w:val="0"/>
          <w:marBottom w:val="0"/>
          <w:divBdr>
            <w:top w:val="none" w:sz="0" w:space="0" w:color="auto"/>
            <w:left w:val="none" w:sz="0" w:space="0" w:color="auto"/>
            <w:bottom w:val="none" w:sz="0" w:space="0" w:color="auto"/>
            <w:right w:val="none" w:sz="0" w:space="0" w:color="auto"/>
          </w:divBdr>
          <w:divsChild>
            <w:div w:id="820393873">
              <w:marLeft w:val="0"/>
              <w:marRight w:val="0"/>
              <w:marTop w:val="0"/>
              <w:marBottom w:val="0"/>
              <w:divBdr>
                <w:top w:val="none" w:sz="0" w:space="0" w:color="auto"/>
                <w:left w:val="none" w:sz="0" w:space="0" w:color="auto"/>
                <w:bottom w:val="none" w:sz="0" w:space="0" w:color="auto"/>
                <w:right w:val="none" w:sz="0" w:space="0" w:color="auto"/>
              </w:divBdr>
            </w:div>
          </w:divsChild>
        </w:div>
        <w:div w:id="1517188323">
          <w:marLeft w:val="0"/>
          <w:marRight w:val="0"/>
          <w:marTop w:val="0"/>
          <w:marBottom w:val="0"/>
          <w:divBdr>
            <w:top w:val="none" w:sz="0" w:space="0" w:color="auto"/>
            <w:left w:val="none" w:sz="0" w:space="0" w:color="auto"/>
            <w:bottom w:val="none" w:sz="0" w:space="0" w:color="auto"/>
            <w:right w:val="none" w:sz="0" w:space="0" w:color="auto"/>
          </w:divBdr>
          <w:divsChild>
            <w:div w:id="324751138">
              <w:marLeft w:val="0"/>
              <w:marRight w:val="0"/>
              <w:marTop w:val="0"/>
              <w:marBottom w:val="0"/>
              <w:divBdr>
                <w:top w:val="none" w:sz="0" w:space="0" w:color="auto"/>
                <w:left w:val="none" w:sz="0" w:space="0" w:color="auto"/>
                <w:bottom w:val="none" w:sz="0" w:space="0" w:color="auto"/>
                <w:right w:val="none" w:sz="0" w:space="0" w:color="auto"/>
              </w:divBdr>
            </w:div>
          </w:divsChild>
        </w:div>
        <w:div w:id="219052568">
          <w:marLeft w:val="0"/>
          <w:marRight w:val="0"/>
          <w:marTop w:val="0"/>
          <w:marBottom w:val="0"/>
          <w:divBdr>
            <w:top w:val="none" w:sz="0" w:space="0" w:color="auto"/>
            <w:left w:val="none" w:sz="0" w:space="0" w:color="auto"/>
            <w:bottom w:val="none" w:sz="0" w:space="0" w:color="auto"/>
            <w:right w:val="none" w:sz="0" w:space="0" w:color="auto"/>
          </w:divBdr>
          <w:divsChild>
            <w:div w:id="1576429939">
              <w:marLeft w:val="0"/>
              <w:marRight w:val="0"/>
              <w:marTop w:val="0"/>
              <w:marBottom w:val="0"/>
              <w:divBdr>
                <w:top w:val="none" w:sz="0" w:space="0" w:color="auto"/>
                <w:left w:val="none" w:sz="0" w:space="0" w:color="auto"/>
                <w:bottom w:val="none" w:sz="0" w:space="0" w:color="auto"/>
                <w:right w:val="none" w:sz="0" w:space="0" w:color="auto"/>
              </w:divBdr>
            </w:div>
          </w:divsChild>
        </w:div>
        <w:div w:id="437219037">
          <w:marLeft w:val="0"/>
          <w:marRight w:val="0"/>
          <w:marTop w:val="0"/>
          <w:marBottom w:val="0"/>
          <w:divBdr>
            <w:top w:val="none" w:sz="0" w:space="0" w:color="auto"/>
            <w:left w:val="none" w:sz="0" w:space="0" w:color="auto"/>
            <w:bottom w:val="none" w:sz="0" w:space="0" w:color="auto"/>
            <w:right w:val="none" w:sz="0" w:space="0" w:color="auto"/>
          </w:divBdr>
          <w:divsChild>
            <w:div w:id="428549383">
              <w:marLeft w:val="0"/>
              <w:marRight w:val="0"/>
              <w:marTop w:val="0"/>
              <w:marBottom w:val="0"/>
              <w:divBdr>
                <w:top w:val="none" w:sz="0" w:space="0" w:color="auto"/>
                <w:left w:val="none" w:sz="0" w:space="0" w:color="auto"/>
                <w:bottom w:val="none" w:sz="0" w:space="0" w:color="auto"/>
                <w:right w:val="none" w:sz="0" w:space="0" w:color="auto"/>
              </w:divBdr>
            </w:div>
          </w:divsChild>
        </w:div>
        <w:div w:id="811674424">
          <w:marLeft w:val="0"/>
          <w:marRight w:val="0"/>
          <w:marTop w:val="0"/>
          <w:marBottom w:val="0"/>
          <w:divBdr>
            <w:top w:val="none" w:sz="0" w:space="0" w:color="auto"/>
            <w:left w:val="none" w:sz="0" w:space="0" w:color="auto"/>
            <w:bottom w:val="none" w:sz="0" w:space="0" w:color="auto"/>
            <w:right w:val="none" w:sz="0" w:space="0" w:color="auto"/>
          </w:divBdr>
          <w:divsChild>
            <w:div w:id="1079597153">
              <w:marLeft w:val="0"/>
              <w:marRight w:val="0"/>
              <w:marTop w:val="0"/>
              <w:marBottom w:val="0"/>
              <w:divBdr>
                <w:top w:val="none" w:sz="0" w:space="0" w:color="auto"/>
                <w:left w:val="none" w:sz="0" w:space="0" w:color="auto"/>
                <w:bottom w:val="none" w:sz="0" w:space="0" w:color="auto"/>
                <w:right w:val="none" w:sz="0" w:space="0" w:color="auto"/>
              </w:divBdr>
            </w:div>
          </w:divsChild>
        </w:div>
        <w:div w:id="106433969">
          <w:marLeft w:val="0"/>
          <w:marRight w:val="0"/>
          <w:marTop w:val="0"/>
          <w:marBottom w:val="0"/>
          <w:divBdr>
            <w:top w:val="none" w:sz="0" w:space="0" w:color="auto"/>
            <w:left w:val="none" w:sz="0" w:space="0" w:color="auto"/>
            <w:bottom w:val="none" w:sz="0" w:space="0" w:color="auto"/>
            <w:right w:val="none" w:sz="0" w:space="0" w:color="auto"/>
          </w:divBdr>
          <w:divsChild>
            <w:div w:id="453520674">
              <w:marLeft w:val="0"/>
              <w:marRight w:val="0"/>
              <w:marTop w:val="0"/>
              <w:marBottom w:val="0"/>
              <w:divBdr>
                <w:top w:val="none" w:sz="0" w:space="0" w:color="auto"/>
                <w:left w:val="none" w:sz="0" w:space="0" w:color="auto"/>
                <w:bottom w:val="none" w:sz="0" w:space="0" w:color="auto"/>
                <w:right w:val="none" w:sz="0" w:space="0" w:color="auto"/>
              </w:divBdr>
            </w:div>
          </w:divsChild>
        </w:div>
        <w:div w:id="561796498">
          <w:marLeft w:val="0"/>
          <w:marRight w:val="0"/>
          <w:marTop w:val="0"/>
          <w:marBottom w:val="0"/>
          <w:divBdr>
            <w:top w:val="none" w:sz="0" w:space="0" w:color="auto"/>
            <w:left w:val="none" w:sz="0" w:space="0" w:color="auto"/>
            <w:bottom w:val="none" w:sz="0" w:space="0" w:color="auto"/>
            <w:right w:val="none" w:sz="0" w:space="0" w:color="auto"/>
          </w:divBdr>
          <w:divsChild>
            <w:div w:id="1082482372">
              <w:marLeft w:val="0"/>
              <w:marRight w:val="0"/>
              <w:marTop w:val="0"/>
              <w:marBottom w:val="0"/>
              <w:divBdr>
                <w:top w:val="none" w:sz="0" w:space="0" w:color="auto"/>
                <w:left w:val="none" w:sz="0" w:space="0" w:color="auto"/>
                <w:bottom w:val="none" w:sz="0" w:space="0" w:color="auto"/>
                <w:right w:val="none" w:sz="0" w:space="0" w:color="auto"/>
              </w:divBdr>
            </w:div>
          </w:divsChild>
        </w:div>
        <w:div w:id="1375156379">
          <w:marLeft w:val="0"/>
          <w:marRight w:val="0"/>
          <w:marTop w:val="0"/>
          <w:marBottom w:val="0"/>
          <w:divBdr>
            <w:top w:val="none" w:sz="0" w:space="0" w:color="auto"/>
            <w:left w:val="none" w:sz="0" w:space="0" w:color="auto"/>
            <w:bottom w:val="none" w:sz="0" w:space="0" w:color="auto"/>
            <w:right w:val="none" w:sz="0" w:space="0" w:color="auto"/>
          </w:divBdr>
          <w:divsChild>
            <w:div w:id="1708722122">
              <w:marLeft w:val="0"/>
              <w:marRight w:val="0"/>
              <w:marTop w:val="0"/>
              <w:marBottom w:val="0"/>
              <w:divBdr>
                <w:top w:val="none" w:sz="0" w:space="0" w:color="auto"/>
                <w:left w:val="none" w:sz="0" w:space="0" w:color="auto"/>
                <w:bottom w:val="none" w:sz="0" w:space="0" w:color="auto"/>
                <w:right w:val="none" w:sz="0" w:space="0" w:color="auto"/>
              </w:divBdr>
            </w:div>
          </w:divsChild>
        </w:div>
        <w:div w:id="1070269187">
          <w:marLeft w:val="0"/>
          <w:marRight w:val="0"/>
          <w:marTop w:val="0"/>
          <w:marBottom w:val="0"/>
          <w:divBdr>
            <w:top w:val="none" w:sz="0" w:space="0" w:color="auto"/>
            <w:left w:val="none" w:sz="0" w:space="0" w:color="auto"/>
            <w:bottom w:val="none" w:sz="0" w:space="0" w:color="auto"/>
            <w:right w:val="none" w:sz="0" w:space="0" w:color="auto"/>
          </w:divBdr>
          <w:divsChild>
            <w:div w:id="574751212">
              <w:marLeft w:val="0"/>
              <w:marRight w:val="0"/>
              <w:marTop w:val="0"/>
              <w:marBottom w:val="0"/>
              <w:divBdr>
                <w:top w:val="none" w:sz="0" w:space="0" w:color="auto"/>
                <w:left w:val="none" w:sz="0" w:space="0" w:color="auto"/>
                <w:bottom w:val="none" w:sz="0" w:space="0" w:color="auto"/>
                <w:right w:val="none" w:sz="0" w:space="0" w:color="auto"/>
              </w:divBdr>
            </w:div>
          </w:divsChild>
        </w:div>
        <w:div w:id="1128740248">
          <w:marLeft w:val="0"/>
          <w:marRight w:val="0"/>
          <w:marTop w:val="0"/>
          <w:marBottom w:val="0"/>
          <w:divBdr>
            <w:top w:val="none" w:sz="0" w:space="0" w:color="auto"/>
            <w:left w:val="none" w:sz="0" w:space="0" w:color="auto"/>
            <w:bottom w:val="none" w:sz="0" w:space="0" w:color="auto"/>
            <w:right w:val="none" w:sz="0" w:space="0" w:color="auto"/>
          </w:divBdr>
          <w:divsChild>
            <w:div w:id="595480503">
              <w:marLeft w:val="0"/>
              <w:marRight w:val="0"/>
              <w:marTop w:val="0"/>
              <w:marBottom w:val="0"/>
              <w:divBdr>
                <w:top w:val="none" w:sz="0" w:space="0" w:color="auto"/>
                <w:left w:val="none" w:sz="0" w:space="0" w:color="auto"/>
                <w:bottom w:val="none" w:sz="0" w:space="0" w:color="auto"/>
                <w:right w:val="none" w:sz="0" w:space="0" w:color="auto"/>
              </w:divBdr>
            </w:div>
          </w:divsChild>
        </w:div>
        <w:div w:id="453839207">
          <w:marLeft w:val="0"/>
          <w:marRight w:val="0"/>
          <w:marTop w:val="0"/>
          <w:marBottom w:val="0"/>
          <w:divBdr>
            <w:top w:val="none" w:sz="0" w:space="0" w:color="auto"/>
            <w:left w:val="none" w:sz="0" w:space="0" w:color="auto"/>
            <w:bottom w:val="none" w:sz="0" w:space="0" w:color="auto"/>
            <w:right w:val="none" w:sz="0" w:space="0" w:color="auto"/>
          </w:divBdr>
          <w:divsChild>
            <w:div w:id="305935775">
              <w:marLeft w:val="0"/>
              <w:marRight w:val="0"/>
              <w:marTop w:val="0"/>
              <w:marBottom w:val="0"/>
              <w:divBdr>
                <w:top w:val="none" w:sz="0" w:space="0" w:color="auto"/>
                <w:left w:val="none" w:sz="0" w:space="0" w:color="auto"/>
                <w:bottom w:val="none" w:sz="0" w:space="0" w:color="auto"/>
                <w:right w:val="none" w:sz="0" w:space="0" w:color="auto"/>
              </w:divBdr>
            </w:div>
          </w:divsChild>
        </w:div>
        <w:div w:id="197357951">
          <w:marLeft w:val="0"/>
          <w:marRight w:val="0"/>
          <w:marTop w:val="0"/>
          <w:marBottom w:val="0"/>
          <w:divBdr>
            <w:top w:val="none" w:sz="0" w:space="0" w:color="auto"/>
            <w:left w:val="none" w:sz="0" w:space="0" w:color="auto"/>
            <w:bottom w:val="none" w:sz="0" w:space="0" w:color="auto"/>
            <w:right w:val="none" w:sz="0" w:space="0" w:color="auto"/>
          </w:divBdr>
          <w:divsChild>
            <w:div w:id="1104810596">
              <w:marLeft w:val="0"/>
              <w:marRight w:val="0"/>
              <w:marTop w:val="0"/>
              <w:marBottom w:val="0"/>
              <w:divBdr>
                <w:top w:val="none" w:sz="0" w:space="0" w:color="auto"/>
                <w:left w:val="none" w:sz="0" w:space="0" w:color="auto"/>
                <w:bottom w:val="none" w:sz="0" w:space="0" w:color="auto"/>
                <w:right w:val="none" w:sz="0" w:space="0" w:color="auto"/>
              </w:divBdr>
            </w:div>
          </w:divsChild>
        </w:div>
        <w:div w:id="665325978">
          <w:marLeft w:val="0"/>
          <w:marRight w:val="0"/>
          <w:marTop w:val="0"/>
          <w:marBottom w:val="0"/>
          <w:divBdr>
            <w:top w:val="none" w:sz="0" w:space="0" w:color="auto"/>
            <w:left w:val="none" w:sz="0" w:space="0" w:color="auto"/>
            <w:bottom w:val="none" w:sz="0" w:space="0" w:color="auto"/>
            <w:right w:val="none" w:sz="0" w:space="0" w:color="auto"/>
          </w:divBdr>
          <w:divsChild>
            <w:div w:id="1303269873">
              <w:marLeft w:val="0"/>
              <w:marRight w:val="0"/>
              <w:marTop w:val="0"/>
              <w:marBottom w:val="0"/>
              <w:divBdr>
                <w:top w:val="none" w:sz="0" w:space="0" w:color="auto"/>
                <w:left w:val="none" w:sz="0" w:space="0" w:color="auto"/>
                <w:bottom w:val="none" w:sz="0" w:space="0" w:color="auto"/>
                <w:right w:val="none" w:sz="0" w:space="0" w:color="auto"/>
              </w:divBdr>
            </w:div>
          </w:divsChild>
        </w:div>
        <w:div w:id="1993017459">
          <w:marLeft w:val="0"/>
          <w:marRight w:val="0"/>
          <w:marTop w:val="0"/>
          <w:marBottom w:val="0"/>
          <w:divBdr>
            <w:top w:val="none" w:sz="0" w:space="0" w:color="auto"/>
            <w:left w:val="none" w:sz="0" w:space="0" w:color="auto"/>
            <w:bottom w:val="none" w:sz="0" w:space="0" w:color="auto"/>
            <w:right w:val="none" w:sz="0" w:space="0" w:color="auto"/>
          </w:divBdr>
          <w:divsChild>
            <w:div w:id="1215972974">
              <w:marLeft w:val="0"/>
              <w:marRight w:val="0"/>
              <w:marTop w:val="0"/>
              <w:marBottom w:val="0"/>
              <w:divBdr>
                <w:top w:val="none" w:sz="0" w:space="0" w:color="auto"/>
                <w:left w:val="none" w:sz="0" w:space="0" w:color="auto"/>
                <w:bottom w:val="none" w:sz="0" w:space="0" w:color="auto"/>
                <w:right w:val="none" w:sz="0" w:space="0" w:color="auto"/>
              </w:divBdr>
            </w:div>
          </w:divsChild>
        </w:div>
        <w:div w:id="1132134513">
          <w:marLeft w:val="0"/>
          <w:marRight w:val="0"/>
          <w:marTop w:val="0"/>
          <w:marBottom w:val="0"/>
          <w:divBdr>
            <w:top w:val="none" w:sz="0" w:space="0" w:color="auto"/>
            <w:left w:val="none" w:sz="0" w:space="0" w:color="auto"/>
            <w:bottom w:val="none" w:sz="0" w:space="0" w:color="auto"/>
            <w:right w:val="none" w:sz="0" w:space="0" w:color="auto"/>
          </w:divBdr>
          <w:divsChild>
            <w:div w:id="575820160">
              <w:marLeft w:val="0"/>
              <w:marRight w:val="0"/>
              <w:marTop w:val="0"/>
              <w:marBottom w:val="0"/>
              <w:divBdr>
                <w:top w:val="none" w:sz="0" w:space="0" w:color="auto"/>
                <w:left w:val="none" w:sz="0" w:space="0" w:color="auto"/>
                <w:bottom w:val="none" w:sz="0" w:space="0" w:color="auto"/>
                <w:right w:val="none" w:sz="0" w:space="0" w:color="auto"/>
              </w:divBdr>
            </w:div>
          </w:divsChild>
        </w:div>
        <w:div w:id="1233926139">
          <w:marLeft w:val="0"/>
          <w:marRight w:val="0"/>
          <w:marTop w:val="0"/>
          <w:marBottom w:val="0"/>
          <w:divBdr>
            <w:top w:val="none" w:sz="0" w:space="0" w:color="auto"/>
            <w:left w:val="none" w:sz="0" w:space="0" w:color="auto"/>
            <w:bottom w:val="none" w:sz="0" w:space="0" w:color="auto"/>
            <w:right w:val="none" w:sz="0" w:space="0" w:color="auto"/>
          </w:divBdr>
          <w:divsChild>
            <w:div w:id="1764649570">
              <w:marLeft w:val="0"/>
              <w:marRight w:val="0"/>
              <w:marTop w:val="0"/>
              <w:marBottom w:val="0"/>
              <w:divBdr>
                <w:top w:val="none" w:sz="0" w:space="0" w:color="auto"/>
                <w:left w:val="none" w:sz="0" w:space="0" w:color="auto"/>
                <w:bottom w:val="none" w:sz="0" w:space="0" w:color="auto"/>
                <w:right w:val="none" w:sz="0" w:space="0" w:color="auto"/>
              </w:divBdr>
            </w:div>
          </w:divsChild>
        </w:div>
        <w:div w:id="1203204280">
          <w:marLeft w:val="0"/>
          <w:marRight w:val="0"/>
          <w:marTop w:val="0"/>
          <w:marBottom w:val="0"/>
          <w:divBdr>
            <w:top w:val="none" w:sz="0" w:space="0" w:color="auto"/>
            <w:left w:val="none" w:sz="0" w:space="0" w:color="auto"/>
            <w:bottom w:val="none" w:sz="0" w:space="0" w:color="auto"/>
            <w:right w:val="none" w:sz="0" w:space="0" w:color="auto"/>
          </w:divBdr>
          <w:divsChild>
            <w:div w:id="760638280">
              <w:marLeft w:val="0"/>
              <w:marRight w:val="0"/>
              <w:marTop w:val="0"/>
              <w:marBottom w:val="0"/>
              <w:divBdr>
                <w:top w:val="none" w:sz="0" w:space="0" w:color="auto"/>
                <w:left w:val="none" w:sz="0" w:space="0" w:color="auto"/>
                <w:bottom w:val="none" w:sz="0" w:space="0" w:color="auto"/>
                <w:right w:val="none" w:sz="0" w:space="0" w:color="auto"/>
              </w:divBdr>
            </w:div>
          </w:divsChild>
        </w:div>
        <w:div w:id="1380468880">
          <w:marLeft w:val="0"/>
          <w:marRight w:val="0"/>
          <w:marTop w:val="0"/>
          <w:marBottom w:val="0"/>
          <w:divBdr>
            <w:top w:val="none" w:sz="0" w:space="0" w:color="auto"/>
            <w:left w:val="none" w:sz="0" w:space="0" w:color="auto"/>
            <w:bottom w:val="none" w:sz="0" w:space="0" w:color="auto"/>
            <w:right w:val="none" w:sz="0" w:space="0" w:color="auto"/>
          </w:divBdr>
          <w:divsChild>
            <w:div w:id="1694912750">
              <w:marLeft w:val="0"/>
              <w:marRight w:val="0"/>
              <w:marTop w:val="0"/>
              <w:marBottom w:val="0"/>
              <w:divBdr>
                <w:top w:val="none" w:sz="0" w:space="0" w:color="auto"/>
                <w:left w:val="none" w:sz="0" w:space="0" w:color="auto"/>
                <w:bottom w:val="none" w:sz="0" w:space="0" w:color="auto"/>
                <w:right w:val="none" w:sz="0" w:space="0" w:color="auto"/>
              </w:divBdr>
            </w:div>
          </w:divsChild>
        </w:div>
        <w:div w:id="808593148">
          <w:marLeft w:val="0"/>
          <w:marRight w:val="0"/>
          <w:marTop w:val="0"/>
          <w:marBottom w:val="0"/>
          <w:divBdr>
            <w:top w:val="none" w:sz="0" w:space="0" w:color="auto"/>
            <w:left w:val="none" w:sz="0" w:space="0" w:color="auto"/>
            <w:bottom w:val="none" w:sz="0" w:space="0" w:color="auto"/>
            <w:right w:val="none" w:sz="0" w:space="0" w:color="auto"/>
          </w:divBdr>
          <w:divsChild>
            <w:div w:id="146257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569197">
      <w:bodyDiv w:val="1"/>
      <w:marLeft w:val="0"/>
      <w:marRight w:val="0"/>
      <w:marTop w:val="0"/>
      <w:marBottom w:val="0"/>
      <w:divBdr>
        <w:top w:val="none" w:sz="0" w:space="0" w:color="auto"/>
        <w:left w:val="none" w:sz="0" w:space="0" w:color="auto"/>
        <w:bottom w:val="none" w:sz="0" w:space="0" w:color="auto"/>
        <w:right w:val="none" w:sz="0" w:space="0" w:color="auto"/>
      </w:divBdr>
      <w:divsChild>
        <w:div w:id="1595165663">
          <w:marLeft w:val="0"/>
          <w:marRight w:val="0"/>
          <w:marTop w:val="0"/>
          <w:marBottom w:val="0"/>
          <w:divBdr>
            <w:top w:val="none" w:sz="0" w:space="0" w:color="auto"/>
            <w:left w:val="none" w:sz="0" w:space="0" w:color="auto"/>
            <w:bottom w:val="none" w:sz="0" w:space="0" w:color="auto"/>
            <w:right w:val="none" w:sz="0" w:space="0" w:color="auto"/>
          </w:divBdr>
        </w:div>
      </w:divsChild>
    </w:div>
    <w:div w:id="1428380301">
      <w:bodyDiv w:val="1"/>
      <w:marLeft w:val="0"/>
      <w:marRight w:val="0"/>
      <w:marTop w:val="0"/>
      <w:marBottom w:val="0"/>
      <w:divBdr>
        <w:top w:val="none" w:sz="0" w:space="0" w:color="auto"/>
        <w:left w:val="none" w:sz="0" w:space="0" w:color="auto"/>
        <w:bottom w:val="none" w:sz="0" w:space="0" w:color="auto"/>
        <w:right w:val="none" w:sz="0" w:space="0" w:color="auto"/>
      </w:divBdr>
    </w:div>
    <w:div w:id="1645962633">
      <w:bodyDiv w:val="1"/>
      <w:marLeft w:val="0"/>
      <w:marRight w:val="0"/>
      <w:marTop w:val="0"/>
      <w:marBottom w:val="0"/>
      <w:divBdr>
        <w:top w:val="none" w:sz="0" w:space="0" w:color="auto"/>
        <w:left w:val="none" w:sz="0" w:space="0" w:color="auto"/>
        <w:bottom w:val="none" w:sz="0" w:space="0" w:color="auto"/>
        <w:right w:val="none" w:sz="0" w:space="0" w:color="auto"/>
      </w:divBdr>
      <w:divsChild>
        <w:div w:id="2051610517">
          <w:marLeft w:val="0"/>
          <w:marRight w:val="0"/>
          <w:marTop w:val="0"/>
          <w:marBottom w:val="0"/>
          <w:divBdr>
            <w:top w:val="none" w:sz="0" w:space="0" w:color="auto"/>
            <w:left w:val="none" w:sz="0" w:space="0" w:color="auto"/>
            <w:bottom w:val="none" w:sz="0" w:space="0" w:color="auto"/>
            <w:right w:val="none" w:sz="0" w:space="0" w:color="auto"/>
          </w:divBdr>
        </w:div>
        <w:div w:id="1259364147">
          <w:marLeft w:val="0"/>
          <w:marRight w:val="0"/>
          <w:marTop w:val="0"/>
          <w:marBottom w:val="0"/>
          <w:divBdr>
            <w:top w:val="none" w:sz="0" w:space="0" w:color="auto"/>
            <w:left w:val="none" w:sz="0" w:space="0" w:color="auto"/>
            <w:bottom w:val="none" w:sz="0" w:space="0" w:color="auto"/>
            <w:right w:val="none" w:sz="0" w:space="0" w:color="auto"/>
          </w:divBdr>
        </w:div>
        <w:div w:id="1521158343">
          <w:marLeft w:val="0"/>
          <w:marRight w:val="0"/>
          <w:marTop w:val="0"/>
          <w:marBottom w:val="0"/>
          <w:divBdr>
            <w:top w:val="none" w:sz="0" w:space="0" w:color="auto"/>
            <w:left w:val="none" w:sz="0" w:space="0" w:color="auto"/>
            <w:bottom w:val="none" w:sz="0" w:space="0" w:color="auto"/>
            <w:right w:val="none" w:sz="0" w:space="0" w:color="auto"/>
          </w:divBdr>
        </w:div>
        <w:div w:id="1050688957">
          <w:marLeft w:val="0"/>
          <w:marRight w:val="0"/>
          <w:marTop w:val="0"/>
          <w:marBottom w:val="0"/>
          <w:divBdr>
            <w:top w:val="none" w:sz="0" w:space="0" w:color="auto"/>
            <w:left w:val="none" w:sz="0" w:space="0" w:color="auto"/>
            <w:bottom w:val="none" w:sz="0" w:space="0" w:color="auto"/>
            <w:right w:val="none" w:sz="0" w:space="0" w:color="auto"/>
          </w:divBdr>
        </w:div>
        <w:div w:id="668409644">
          <w:marLeft w:val="0"/>
          <w:marRight w:val="0"/>
          <w:marTop w:val="0"/>
          <w:marBottom w:val="0"/>
          <w:divBdr>
            <w:top w:val="none" w:sz="0" w:space="0" w:color="auto"/>
            <w:left w:val="none" w:sz="0" w:space="0" w:color="auto"/>
            <w:bottom w:val="none" w:sz="0" w:space="0" w:color="auto"/>
            <w:right w:val="none" w:sz="0" w:space="0" w:color="auto"/>
          </w:divBdr>
        </w:div>
        <w:div w:id="1586451133">
          <w:marLeft w:val="0"/>
          <w:marRight w:val="0"/>
          <w:marTop w:val="0"/>
          <w:marBottom w:val="0"/>
          <w:divBdr>
            <w:top w:val="none" w:sz="0" w:space="0" w:color="auto"/>
            <w:left w:val="none" w:sz="0" w:space="0" w:color="auto"/>
            <w:bottom w:val="none" w:sz="0" w:space="0" w:color="auto"/>
            <w:right w:val="none" w:sz="0" w:space="0" w:color="auto"/>
          </w:divBdr>
        </w:div>
        <w:div w:id="765273033">
          <w:marLeft w:val="0"/>
          <w:marRight w:val="0"/>
          <w:marTop w:val="0"/>
          <w:marBottom w:val="0"/>
          <w:divBdr>
            <w:top w:val="none" w:sz="0" w:space="0" w:color="auto"/>
            <w:left w:val="none" w:sz="0" w:space="0" w:color="auto"/>
            <w:bottom w:val="none" w:sz="0" w:space="0" w:color="auto"/>
            <w:right w:val="none" w:sz="0" w:space="0" w:color="auto"/>
          </w:divBdr>
        </w:div>
        <w:div w:id="1723013919">
          <w:marLeft w:val="0"/>
          <w:marRight w:val="0"/>
          <w:marTop w:val="0"/>
          <w:marBottom w:val="0"/>
          <w:divBdr>
            <w:top w:val="none" w:sz="0" w:space="0" w:color="auto"/>
            <w:left w:val="none" w:sz="0" w:space="0" w:color="auto"/>
            <w:bottom w:val="none" w:sz="0" w:space="0" w:color="auto"/>
            <w:right w:val="none" w:sz="0" w:space="0" w:color="auto"/>
          </w:divBdr>
        </w:div>
        <w:div w:id="1784425534">
          <w:marLeft w:val="0"/>
          <w:marRight w:val="0"/>
          <w:marTop w:val="0"/>
          <w:marBottom w:val="0"/>
          <w:divBdr>
            <w:top w:val="none" w:sz="0" w:space="0" w:color="auto"/>
            <w:left w:val="none" w:sz="0" w:space="0" w:color="auto"/>
            <w:bottom w:val="none" w:sz="0" w:space="0" w:color="auto"/>
            <w:right w:val="none" w:sz="0" w:space="0" w:color="auto"/>
          </w:divBdr>
          <w:divsChild>
            <w:div w:id="678241766">
              <w:marLeft w:val="-75"/>
              <w:marRight w:val="0"/>
              <w:marTop w:val="30"/>
              <w:marBottom w:val="30"/>
              <w:divBdr>
                <w:top w:val="none" w:sz="0" w:space="0" w:color="auto"/>
                <w:left w:val="none" w:sz="0" w:space="0" w:color="auto"/>
                <w:bottom w:val="none" w:sz="0" w:space="0" w:color="auto"/>
                <w:right w:val="none" w:sz="0" w:space="0" w:color="auto"/>
              </w:divBdr>
              <w:divsChild>
                <w:div w:id="1185828099">
                  <w:marLeft w:val="0"/>
                  <w:marRight w:val="0"/>
                  <w:marTop w:val="0"/>
                  <w:marBottom w:val="0"/>
                  <w:divBdr>
                    <w:top w:val="none" w:sz="0" w:space="0" w:color="auto"/>
                    <w:left w:val="none" w:sz="0" w:space="0" w:color="auto"/>
                    <w:bottom w:val="none" w:sz="0" w:space="0" w:color="auto"/>
                    <w:right w:val="none" w:sz="0" w:space="0" w:color="auto"/>
                  </w:divBdr>
                  <w:divsChild>
                    <w:div w:id="85612966">
                      <w:marLeft w:val="0"/>
                      <w:marRight w:val="0"/>
                      <w:marTop w:val="0"/>
                      <w:marBottom w:val="0"/>
                      <w:divBdr>
                        <w:top w:val="none" w:sz="0" w:space="0" w:color="auto"/>
                        <w:left w:val="none" w:sz="0" w:space="0" w:color="auto"/>
                        <w:bottom w:val="none" w:sz="0" w:space="0" w:color="auto"/>
                        <w:right w:val="none" w:sz="0" w:space="0" w:color="auto"/>
                      </w:divBdr>
                    </w:div>
                  </w:divsChild>
                </w:div>
                <w:div w:id="1988438572">
                  <w:marLeft w:val="0"/>
                  <w:marRight w:val="0"/>
                  <w:marTop w:val="0"/>
                  <w:marBottom w:val="0"/>
                  <w:divBdr>
                    <w:top w:val="none" w:sz="0" w:space="0" w:color="auto"/>
                    <w:left w:val="none" w:sz="0" w:space="0" w:color="auto"/>
                    <w:bottom w:val="none" w:sz="0" w:space="0" w:color="auto"/>
                    <w:right w:val="none" w:sz="0" w:space="0" w:color="auto"/>
                  </w:divBdr>
                  <w:divsChild>
                    <w:div w:id="254872179">
                      <w:marLeft w:val="0"/>
                      <w:marRight w:val="0"/>
                      <w:marTop w:val="0"/>
                      <w:marBottom w:val="0"/>
                      <w:divBdr>
                        <w:top w:val="none" w:sz="0" w:space="0" w:color="auto"/>
                        <w:left w:val="none" w:sz="0" w:space="0" w:color="auto"/>
                        <w:bottom w:val="none" w:sz="0" w:space="0" w:color="auto"/>
                        <w:right w:val="none" w:sz="0" w:space="0" w:color="auto"/>
                      </w:divBdr>
                    </w:div>
                  </w:divsChild>
                </w:div>
                <w:div w:id="74010746">
                  <w:marLeft w:val="0"/>
                  <w:marRight w:val="0"/>
                  <w:marTop w:val="0"/>
                  <w:marBottom w:val="0"/>
                  <w:divBdr>
                    <w:top w:val="none" w:sz="0" w:space="0" w:color="auto"/>
                    <w:left w:val="none" w:sz="0" w:space="0" w:color="auto"/>
                    <w:bottom w:val="none" w:sz="0" w:space="0" w:color="auto"/>
                    <w:right w:val="none" w:sz="0" w:space="0" w:color="auto"/>
                  </w:divBdr>
                  <w:divsChild>
                    <w:div w:id="1751459272">
                      <w:marLeft w:val="0"/>
                      <w:marRight w:val="0"/>
                      <w:marTop w:val="0"/>
                      <w:marBottom w:val="0"/>
                      <w:divBdr>
                        <w:top w:val="none" w:sz="0" w:space="0" w:color="auto"/>
                        <w:left w:val="none" w:sz="0" w:space="0" w:color="auto"/>
                        <w:bottom w:val="none" w:sz="0" w:space="0" w:color="auto"/>
                        <w:right w:val="none" w:sz="0" w:space="0" w:color="auto"/>
                      </w:divBdr>
                    </w:div>
                  </w:divsChild>
                </w:div>
                <w:div w:id="1336228664">
                  <w:marLeft w:val="0"/>
                  <w:marRight w:val="0"/>
                  <w:marTop w:val="0"/>
                  <w:marBottom w:val="0"/>
                  <w:divBdr>
                    <w:top w:val="none" w:sz="0" w:space="0" w:color="auto"/>
                    <w:left w:val="none" w:sz="0" w:space="0" w:color="auto"/>
                    <w:bottom w:val="none" w:sz="0" w:space="0" w:color="auto"/>
                    <w:right w:val="none" w:sz="0" w:space="0" w:color="auto"/>
                  </w:divBdr>
                  <w:divsChild>
                    <w:div w:id="1807429968">
                      <w:marLeft w:val="0"/>
                      <w:marRight w:val="0"/>
                      <w:marTop w:val="0"/>
                      <w:marBottom w:val="0"/>
                      <w:divBdr>
                        <w:top w:val="none" w:sz="0" w:space="0" w:color="auto"/>
                        <w:left w:val="none" w:sz="0" w:space="0" w:color="auto"/>
                        <w:bottom w:val="none" w:sz="0" w:space="0" w:color="auto"/>
                        <w:right w:val="none" w:sz="0" w:space="0" w:color="auto"/>
                      </w:divBdr>
                    </w:div>
                  </w:divsChild>
                </w:div>
                <w:div w:id="783304086">
                  <w:marLeft w:val="0"/>
                  <w:marRight w:val="0"/>
                  <w:marTop w:val="0"/>
                  <w:marBottom w:val="0"/>
                  <w:divBdr>
                    <w:top w:val="none" w:sz="0" w:space="0" w:color="auto"/>
                    <w:left w:val="none" w:sz="0" w:space="0" w:color="auto"/>
                    <w:bottom w:val="none" w:sz="0" w:space="0" w:color="auto"/>
                    <w:right w:val="none" w:sz="0" w:space="0" w:color="auto"/>
                  </w:divBdr>
                  <w:divsChild>
                    <w:div w:id="1773817699">
                      <w:marLeft w:val="0"/>
                      <w:marRight w:val="0"/>
                      <w:marTop w:val="0"/>
                      <w:marBottom w:val="0"/>
                      <w:divBdr>
                        <w:top w:val="none" w:sz="0" w:space="0" w:color="auto"/>
                        <w:left w:val="none" w:sz="0" w:space="0" w:color="auto"/>
                        <w:bottom w:val="none" w:sz="0" w:space="0" w:color="auto"/>
                        <w:right w:val="none" w:sz="0" w:space="0" w:color="auto"/>
                      </w:divBdr>
                    </w:div>
                  </w:divsChild>
                </w:div>
                <w:div w:id="180172260">
                  <w:marLeft w:val="0"/>
                  <w:marRight w:val="0"/>
                  <w:marTop w:val="0"/>
                  <w:marBottom w:val="0"/>
                  <w:divBdr>
                    <w:top w:val="none" w:sz="0" w:space="0" w:color="auto"/>
                    <w:left w:val="none" w:sz="0" w:space="0" w:color="auto"/>
                    <w:bottom w:val="none" w:sz="0" w:space="0" w:color="auto"/>
                    <w:right w:val="none" w:sz="0" w:space="0" w:color="auto"/>
                  </w:divBdr>
                  <w:divsChild>
                    <w:div w:id="818420448">
                      <w:marLeft w:val="0"/>
                      <w:marRight w:val="0"/>
                      <w:marTop w:val="0"/>
                      <w:marBottom w:val="0"/>
                      <w:divBdr>
                        <w:top w:val="none" w:sz="0" w:space="0" w:color="auto"/>
                        <w:left w:val="none" w:sz="0" w:space="0" w:color="auto"/>
                        <w:bottom w:val="none" w:sz="0" w:space="0" w:color="auto"/>
                        <w:right w:val="none" w:sz="0" w:space="0" w:color="auto"/>
                      </w:divBdr>
                    </w:div>
                  </w:divsChild>
                </w:div>
                <w:div w:id="571935924">
                  <w:marLeft w:val="0"/>
                  <w:marRight w:val="0"/>
                  <w:marTop w:val="0"/>
                  <w:marBottom w:val="0"/>
                  <w:divBdr>
                    <w:top w:val="none" w:sz="0" w:space="0" w:color="auto"/>
                    <w:left w:val="none" w:sz="0" w:space="0" w:color="auto"/>
                    <w:bottom w:val="none" w:sz="0" w:space="0" w:color="auto"/>
                    <w:right w:val="none" w:sz="0" w:space="0" w:color="auto"/>
                  </w:divBdr>
                  <w:divsChild>
                    <w:div w:id="380180619">
                      <w:marLeft w:val="0"/>
                      <w:marRight w:val="0"/>
                      <w:marTop w:val="0"/>
                      <w:marBottom w:val="0"/>
                      <w:divBdr>
                        <w:top w:val="none" w:sz="0" w:space="0" w:color="auto"/>
                        <w:left w:val="none" w:sz="0" w:space="0" w:color="auto"/>
                        <w:bottom w:val="none" w:sz="0" w:space="0" w:color="auto"/>
                        <w:right w:val="none" w:sz="0" w:space="0" w:color="auto"/>
                      </w:divBdr>
                    </w:div>
                  </w:divsChild>
                </w:div>
                <w:div w:id="516316125">
                  <w:marLeft w:val="0"/>
                  <w:marRight w:val="0"/>
                  <w:marTop w:val="0"/>
                  <w:marBottom w:val="0"/>
                  <w:divBdr>
                    <w:top w:val="none" w:sz="0" w:space="0" w:color="auto"/>
                    <w:left w:val="none" w:sz="0" w:space="0" w:color="auto"/>
                    <w:bottom w:val="none" w:sz="0" w:space="0" w:color="auto"/>
                    <w:right w:val="none" w:sz="0" w:space="0" w:color="auto"/>
                  </w:divBdr>
                  <w:divsChild>
                    <w:div w:id="1339651441">
                      <w:marLeft w:val="0"/>
                      <w:marRight w:val="0"/>
                      <w:marTop w:val="0"/>
                      <w:marBottom w:val="0"/>
                      <w:divBdr>
                        <w:top w:val="none" w:sz="0" w:space="0" w:color="auto"/>
                        <w:left w:val="none" w:sz="0" w:space="0" w:color="auto"/>
                        <w:bottom w:val="none" w:sz="0" w:space="0" w:color="auto"/>
                        <w:right w:val="none" w:sz="0" w:space="0" w:color="auto"/>
                      </w:divBdr>
                    </w:div>
                  </w:divsChild>
                </w:div>
                <w:div w:id="87389828">
                  <w:marLeft w:val="0"/>
                  <w:marRight w:val="0"/>
                  <w:marTop w:val="0"/>
                  <w:marBottom w:val="0"/>
                  <w:divBdr>
                    <w:top w:val="none" w:sz="0" w:space="0" w:color="auto"/>
                    <w:left w:val="none" w:sz="0" w:space="0" w:color="auto"/>
                    <w:bottom w:val="none" w:sz="0" w:space="0" w:color="auto"/>
                    <w:right w:val="none" w:sz="0" w:space="0" w:color="auto"/>
                  </w:divBdr>
                  <w:divsChild>
                    <w:div w:id="1143699084">
                      <w:marLeft w:val="0"/>
                      <w:marRight w:val="0"/>
                      <w:marTop w:val="0"/>
                      <w:marBottom w:val="0"/>
                      <w:divBdr>
                        <w:top w:val="none" w:sz="0" w:space="0" w:color="auto"/>
                        <w:left w:val="none" w:sz="0" w:space="0" w:color="auto"/>
                        <w:bottom w:val="none" w:sz="0" w:space="0" w:color="auto"/>
                        <w:right w:val="none" w:sz="0" w:space="0" w:color="auto"/>
                      </w:divBdr>
                    </w:div>
                  </w:divsChild>
                </w:div>
                <w:div w:id="648707317">
                  <w:marLeft w:val="0"/>
                  <w:marRight w:val="0"/>
                  <w:marTop w:val="0"/>
                  <w:marBottom w:val="0"/>
                  <w:divBdr>
                    <w:top w:val="none" w:sz="0" w:space="0" w:color="auto"/>
                    <w:left w:val="none" w:sz="0" w:space="0" w:color="auto"/>
                    <w:bottom w:val="none" w:sz="0" w:space="0" w:color="auto"/>
                    <w:right w:val="none" w:sz="0" w:space="0" w:color="auto"/>
                  </w:divBdr>
                  <w:divsChild>
                    <w:div w:id="1184711025">
                      <w:marLeft w:val="0"/>
                      <w:marRight w:val="0"/>
                      <w:marTop w:val="0"/>
                      <w:marBottom w:val="0"/>
                      <w:divBdr>
                        <w:top w:val="none" w:sz="0" w:space="0" w:color="auto"/>
                        <w:left w:val="none" w:sz="0" w:space="0" w:color="auto"/>
                        <w:bottom w:val="none" w:sz="0" w:space="0" w:color="auto"/>
                        <w:right w:val="none" w:sz="0" w:space="0" w:color="auto"/>
                      </w:divBdr>
                    </w:div>
                  </w:divsChild>
                </w:div>
                <w:div w:id="119693496">
                  <w:marLeft w:val="0"/>
                  <w:marRight w:val="0"/>
                  <w:marTop w:val="0"/>
                  <w:marBottom w:val="0"/>
                  <w:divBdr>
                    <w:top w:val="none" w:sz="0" w:space="0" w:color="auto"/>
                    <w:left w:val="none" w:sz="0" w:space="0" w:color="auto"/>
                    <w:bottom w:val="none" w:sz="0" w:space="0" w:color="auto"/>
                    <w:right w:val="none" w:sz="0" w:space="0" w:color="auto"/>
                  </w:divBdr>
                  <w:divsChild>
                    <w:div w:id="1817910501">
                      <w:marLeft w:val="0"/>
                      <w:marRight w:val="0"/>
                      <w:marTop w:val="0"/>
                      <w:marBottom w:val="0"/>
                      <w:divBdr>
                        <w:top w:val="none" w:sz="0" w:space="0" w:color="auto"/>
                        <w:left w:val="none" w:sz="0" w:space="0" w:color="auto"/>
                        <w:bottom w:val="none" w:sz="0" w:space="0" w:color="auto"/>
                        <w:right w:val="none" w:sz="0" w:space="0" w:color="auto"/>
                      </w:divBdr>
                    </w:div>
                  </w:divsChild>
                </w:div>
                <w:div w:id="41713386">
                  <w:marLeft w:val="0"/>
                  <w:marRight w:val="0"/>
                  <w:marTop w:val="0"/>
                  <w:marBottom w:val="0"/>
                  <w:divBdr>
                    <w:top w:val="none" w:sz="0" w:space="0" w:color="auto"/>
                    <w:left w:val="none" w:sz="0" w:space="0" w:color="auto"/>
                    <w:bottom w:val="none" w:sz="0" w:space="0" w:color="auto"/>
                    <w:right w:val="none" w:sz="0" w:space="0" w:color="auto"/>
                  </w:divBdr>
                  <w:divsChild>
                    <w:div w:id="187064000">
                      <w:marLeft w:val="0"/>
                      <w:marRight w:val="0"/>
                      <w:marTop w:val="0"/>
                      <w:marBottom w:val="0"/>
                      <w:divBdr>
                        <w:top w:val="none" w:sz="0" w:space="0" w:color="auto"/>
                        <w:left w:val="none" w:sz="0" w:space="0" w:color="auto"/>
                        <w:bottom w:val="none" w:sz="0" w:space="0" w:color="auto"/>
                        <w:right w:val="none" w:sz="0" w:space="0" w:color="auto"/>
                      </w:divBdr>
                    </w:div>
                  </w:divsChild>
                </w:div>
                <w:div w:id="1669403126">
                  <w:marLeft w:val="0"/>
                  <w:marRight w:val="0"/>
                  <w:marTop w:val="0"/>
                  <w:marBottom w:val="0"/>
                  <w:divBdr>
                    <w:top w:val="none" w:sz="0" w:space="0" w:color="auto"/>
                    <w:left w:val="none" w:sz="0" w:space="0" w:color="auto"/>
                    <w:bottom w:val="none" w:sz="0" w:space="0" w:color="auto"/>
                    <w:right w:val="none" w:sz="0" w:space="0" w:color="auto"/>
                  </w:divBdr>
                  <w:divsChild>
                    <w:div w:id="24253894">
                      <w:marLeft w:val="0"/>
                      <w:marRight w:val="0"/>
                      <w:marTop w:val="0"/>
                      <w:marBottom w:val="0"/>
                      <w:divBdr>
                        <w:top w:val="none" w:sz="0" w:space="0" w:color="auto"/>
                        <w:left w:val="none" w:sz="0" w:space="0" w:color="auto"/>
                        <w:bottom w:val="none" w:sz="0" w:space="0" w:color="auto"/>
                        <w:right w:val="none" w:sz="0" w:space="0" w:color="auto"/>
                      </w:divBdr>
                    </w:div>
                  </w:divsChild>
                </w:div>
                <w:div w:id="2097899671">
                  <w:marLeft w:val="0"/>
                  <w:marRight w:val="0"/>
                  <w:marTop w:val="0"/>
                  <w:marBottom w:val="0"/>
                  <w:divBdr>
                    <w:top w:val="none" w:sz="0" w:space="0" w:color="auto"/>
                    <w:left w:val="none" w:sz="0" w:space="0" w:color="auto"/>
                    <w:bottom w:val="none" w:sz="0" w:space="0" w:color="auto"/>
                    <w:right w:val="none" w:sz="0" w:space="0" w:color="auto"/>
                  </w:divBdr>
                  <w:divsChild>
                    <w:div w:id="522673192">
                      <w:marLeft w:val="0"/>
                      <w:marRight w:val="0"/>
                      <w:marTop w:val="0"/>
                      <w:marBottom w:val="0"/>
                      <w:divBdr>
                        <w:top w:val="none" w:sz="0" w:space="0" w:color="auto"/>
                        <w:left w:val="none" w:sz="0" w:space="0" w:color="auto"/>
                        <w:bottom w:val="none" w:sz="0" w:space="0" w:color="auto"/>
                        <w:right w:val="none" w:sz="0" w:space="0" w:color="auto"/>
                      </w:divBdr>
                    </w:div>
                  </w:divsChild>
                </w:div>
                <w:div w:id="1516187811">
                  <w:marLeft w:val="0"/>
                  <w:marRight w:val="0"/>
                  <w:marTop w:val="0"/>
                  <w:marBottom w:val="0"/>
                  <w:divBdr>
                    <w:top w:val="none" w:sz="0" w:space="0" w:color="auto"/>
                    <w:left w:val="none" w:sz="0" w:space="0" w:color="auto"/>
                    <w:bottom w:val="none" w:sz="0" w:space="0" w:color="auto"/>
                    <w:right w:val="none" w:sz="0" w:space="0" w:color="auto"/>
                  </w:divBdr>
                  <w:divsChild>
                    <w:div w:id="33232570">
                      <w:marLeft w:val="0"/>
                      <w:marRight w:val="0"/>
                      <w:marTop w:val="0"/>
                      <w:marBottom w:val="0"/>
                      <w:divBdr>
                        <w:top w:val="none" w:sz="0" w:space="0" w:color="auto"/>
                        <w:left w:val="none" w:sz="0" w:space="0" w:color="auto"/>
                        <w:bottom w:val="none" w:sz="0" w:space="0" w:color="auto"/>
                        <w:right w:val="none" w:sz="0" w:space="0" w:color="auto"/>
                      </w:divBdr>
                    </w:div>
                  </w:divsChild>
                </w:div>
                <w:div w:id="1518731288">
                  <w:marLeft w:val="0"/>
                  <w:marRight w:val="0"/>
                  <w:marTop w:val="0"/>
                  <w:marBottom w:val="0"/>
                  <w:divBdr>
                    <w:top w:val="none" w:sz="0" w:space="0" w:color="auto"/>
                    <w:left w:val="none" w:sz="0" w:space="0" w:color="auto"/>
                    <w:bottom w:val="none" w:sz="0" w:space="0" w:color="auto"/>
                    <w:right w:val="none" w:sz="0" w:space="0" w:color="auto"/>
                  </w:divBdr>
                  <w:divsChild>
                    <w:div w:id="1729719206">
                      <w:marLeft w:val="0"/>
                      <w:marRight w:val="0"/>
                      <w:marTop w:val="0"/>
                      <w:marBottom w:val="0"/>
                      <w:divBdr>
                        <w:top w:val="none" w:sz="0" w:space="0" w:color="auto"/>
                        <w:left w:val="none" w:sz="0" w:space="0" w:color="auto"/>
                        <w:bottom w:val="none" w:sz="0" w:space="0" w:color="auto"/>
                        <w:right w:val="none" w:sz="0" w:space="0" w:color="auto"/>
                      </w:divBdr>
                    </w:div>
                  </w:divsChild>
                </w:div>
                <w:div w:id="1406757727">
                  <w:marLeft w:val="0"/>
                  <w:marRight w:val="0"/>
                  <w:marTop w:val="0"/>
                  <w:marBottom w:val="0"/>
                  <w:divBdr>
                    <w:top w:val="none" w:sz="0" w:space="0" w:color="auto"/>
                    <w:left w:val="none" w:sz="0" w:space="0" w:color="auto"/>
                    <w:bottom w:val="none" w:sz="0" w:space="0" w:color="auto"/>
                    <w:right w:val="none" w:sz="0" w:space="0" w:color="auto"/>
                  </w:divBdr>
                  <w:divsChild>
                    <w:div w:id="324480659">
                      <w:marLeft w:val="0"/>
                      <w:marRight w:val="0"/>
                      <w:marTop w:val="0"/>
                      <w:marBottom w:val="0"/>
                      <w:divBdr>
                        <w:top w:val="none" w:sz="0" w:space="0" w:color="auto"/>
                        <w:left w:val="none" w:sz="0" w:space="0" w:color="auto"/>
                        <w:bottom w:val="none" w:sz="0" w:space="0" w:color="auto"/>
                        <w:right w:val="none" w:sz="0" w:space="0" w:color="auto"/>
                      </w:divBdr>
                    </w:div>
                  </w:divsChild>
                </w:div>
                <w:div w:id="1364668625">
                  <w:marLeft w:val="0"/>
                  <w:marRight w:val="0"/>
                  <w:marTop w:val="0"/>
                  <w:marBottom w:val="0"/>
                  <w:divBdr>
                    <w:top w:val="none" w:sz="0" w:space="0" w:color="auto"/>
                    <w:left w:val="none" w:sz="0" w:space="0" w:color="auto"/>
                    <w:bottom w:val="none" w:sz="0" w:space="0" w:color="auto"/>
                    <w:right w:val="none" w:sz="0" w:space="0" w:color="auto"/>
                  </w:divBdr>
                  <w:divsChild>
                    <w:div w:id="1084909674">
                      <w:marLeft w:val="0"/>
                      <w:marRight w:val="0"/>
                      <w:marTop w:val="0"/>
                      <w:marBottom w:val="0"/>
                      <w:divBdr>
                        <w:top w:val="none" w:sz="0" w:space="0" w:color="auto"/>
                        <w:left w:val="none" w:sz="0" w:space="0" w:color="auto"/>
                        <w:bottom w:val="none" w:sz="0" w:space="0" w:color="auto"/>
                        <w:right w:val="none" w:sz="0" w:space="0" w:color="auto"/>
                      </w:divBdr>
                    </w:div>
                  </w:divsChild>
                </w:div>
                <w:div w:id="1449547662">
                  <w:marLeft w:val="0"/>
                  <w:marRight w:val="0"/>
                  <w:marTop w:val="0"/>
                  <w:marBottom w:val="0"/>
                  <w:divBdr>
                    <w:top w:val="none" w:sz="0" w:space="0" w:color="auto"/>
                    <w:left w:val="none" w:sz="0" w:space="0" w:color="auto"/>
                    <w:bottom w:val="none" w:sz="0" w:space="0" w:color="auto"/>
                    <w:right w:val="none" w:sz="0" w:space="0" w:color="auto"/>
                  </w:divBdr>
                  <w:divsChild>
                    <w:div w:id="1388722569">
                      <w:marLeft w:val="0"/>
                      <w:marRight w:val="0"/>
                      <w:marTop w:val="0"/>
                      <w:marBottom w:val="0"/>
                      <w:divBdr>
                        <w:top w:val="none" w:sz="0" w:space="0" w:color="auto"/>
                        <w:left w:val="none" w:sz="0" w:space="0" w:color="auto"/>
                        <w:bottom w:val="none" w:sz="0" w:space="0" w:color="auto"/>
                        <w:right w:val="none" w:sz="0" w:space="0" w:color="auto"/>
                      </w:divBdr>
                    </w:div>
                  </w:divsChild>
                </w:div>
                <w:div w:id="1827352380">
                  <w:marLeft w:val="0"/>
                  <w:marRight w:val="0"/>
                  <w:marTop w:val="0"/>
                  <w:marBottom w:val="0"/>
                  <w:divBdr>
                    <w:top w:val="none" w:sz="0" w:space="0" w:color="auto"/>
                    <w:left w:val="none" w:sz="0" w:space="0" w:color="auto"/>
                    <w:bottom w:val="none" w:sz="0" w:space="0" w:color="auto"/>
                    <w:right w:val="none" w:sz="0" w:space="0" w:color="auto"/>
                  </w:divBdr>
                  <w:divsChild>
                    <w:div w:id="21785387">
                      <w:marLeft w:val="0"/>
                      <w:marRight w:val="0"/>
                      <w:marTop w:val="0"/>
                      <w:marBottom w:val="0"/>
                      <w:divBdr>
                        <w:top w:val="none" w:sz="0" w:space="0" w:color="auto"/>
                        <w:left w:val="none" w:sz="0" w:space="0" w:color="auto"/>
                        <w:bottom w:val="none" w:sz="0" w:space="0" w:color="auto"/>
                        <w:right w:val="none" w:sz="0" w:space="0" w:color="auto"/>
                      </w:divBdr>
                    </w:div>
                  </w:divsChild>
                </w:div>
                <w:div w:id="153952585">
                  <w:marLeft w:val="0"/>
                  <w:marRight w:val="0"/>
                  <w:marTop w:val="0"/>
                  <w:marBottom w:val="0"/>
                  <w:divBdr>
                    <w:top w:val="none" w:sz="0" w:space="0" w:color="auto"/>
                    <w:left w:val="none" w:sz="0" w:space="0" w:color="auto"/>
                    <w:bottom w:val="none" w:sz="0" w:space="0" w:color="auto"/>
                    <w:right w:val="none" w:sz="0" w:space="0" w:color="auto"/>
                  </w:divBdr>
                  <w:divsChild>
                    <w:div w:id="551695811">
                      <w:marLeft w:val="0"/>
                      <w:marRight w:val="0"/>
                      <w:marTop w:val="0"/>
                      <w:marBottom w:val="0"/>
                      <w:divBdr>
                        <w:top w:val="none" w:sz="0" w:space="0" w:color="auto"/>
                        <w:left w:val="none" w:sz="0" w:space="0" w:color="auto"/>
                        <w:bottom w:val="none" w:sz="0" w:space="0" w:color="auto"/>
                        <w:right w:val="none" w:sz="0" w:space="0" w:color="auto"/>
                      </w:divBdr>
                    </w:div>
                  </w:divsChild>
                </w:div>
                <w:div w:id="1077871903">
                  <w:marLeft w:val="0"/>
                  <w:marRight w:val="0"/>
                  <w:marTop w:val="0"/>
                  <w:marBottom w:val="0"/>
                  <w:divBdr>
                    <w:top w:val="none" w:sz="0" w:space="0" w:color="auto"/>
                    <w:left w:val="none" w:sz="0" w:space="0" w:color="auto"/>
                    <w:bottom w:val="none" w:sz="0" w:space="0" w:color="auto"/>
                    <w:right w:val="none" w:sz="0" w:space="0" w:color="auto"/>
                  </w:divBdr>
                  <w:divsChild>
                    <w:div w:id="139201695">
                      <w:marLeft w:val="0"/>
                      <w:marRight w:val="0"/>
                      <w:marTop w:val="0"/>
                      <w:marBottom w:val="0"/>
                      <w:divBdr>
                        <w:top w:val="none" w:sz="0" w:space="0" w:color="auto"/>
                        <w:left w:val="none" w:sz="0" w:space="0" w:color="auto"/>
                        <w:bottom w:val="none" w:sz="0" w:space="0" w:color="auto"/>
                        <w:right w:val="none" w:sz="0" w:space="0" w:color="auto"/>
                      </w:divBdr>
                    </w:div>
                  </w:divsChild>
                </w:div>
                <w:div w:id="760106079">
                  <w:marLeft w:val="0"/>
                  <w:marRight w:val="0"/>
                  <w:marTop w:val="0"/>
                  <w:marBottom w:val="0"/>
                  <w:divBdr>
                    <w:top w:val="none" w:sz="0" w:space="0" w:color="auto"/>
                    <w:left w:val="none" w:sz="0" w:space="0" w:color="auto"/>
                    <w:bottom w:val="none" w:sz="0" w:space="0" w:color="auto"/>
                    <w:right w:val="none" w:sz="0" w:space="0" w:color="auto"/>
                  </w:divBdr>
                  <w:divsChild>
                    <w:div w:id="37827102">
                      <w:marLeft w:val="0"/>
                      <w:marRight w:val="0"/>
                      <w:marTop w:val="0"/>
                      <w:marBottom w:val="0"/>
                      <w:divBdr>
                        <w:top w:val="none" w:sz="0" w:space="0" w:color="auto"/>
                        <w:left w:val="none" w:sz="0" w:space="0" w:color="auto"/>
                        <w:bottom w:val="none" w:sz="0" w:space="0" w:color="auto"/>
                        <w:right w:val="none" w:sz="0" w:space="0" w:color="auto"/>
                      </w:divBdr>
                    </w:div>
                  </w:divsChild>
                </w:div>
                <w:div w:id="1095252710">
                  <w:marLeft w:val="0"/>
                  <w:marRight w:val="0"/>
                  <w:marTop w:val="0"/>
                  <w:marBottom w:val="0"/>
                  <w:divBdr>
                    <w:top w:val="none" w:sz="0" w:space="0" w:color="auto"/>
                    <w:left w:val="none" w:sz="0" w:space="0" w:color="auto"/>
                    <w:bottom w:val="none" w:sz="0" w:space="0" w:color="auto"/>
                    <w:right w:val="none" w:sz="0" w:space="0" w:color="auto"/>
                  </w:divBdr>
                  <w:divsChild>
                    <w:div w:id="1777018804">
                      <w:marLeft w:val="0"/>
                      <w:marRight w:val="0"/>
                      <w:marTop w:val="0"/>
                      <w:marBottom w:val="0"/>
                      <w:divBdr>
                        <w:top w:val="none" w:sz="0" w:space="0" w:color="auto"/>
                        <w:left w:val="none" w:sz="0" w:space="0" w:color="auto"/>
                        <w:bottom w:val="none" w:sz="0" w:space="0" w:color="auto"/>
                        <w:right w:val="none" w:sz="0" w:space="0" w:color="auto"/>
                      </w:divBdr>
                    </w:div>
                  </w:divsChild>
                </w:div>
                <w:div w:id="95638579">
                  <w:marLeft w:val="0"/>
                  <w:marRight w:val="0"/>
                  <w:marTop w:val="0"/>
                  <w:marBottom w:val="0"/>
                  <w:divBdr>
                    <w:top w:val="none" w:sz="0" w:space="0" w:color="auto"/>
                    <w:left w:val="none" w:sz="0" w:space="0" w:color="auto"/>
                    <w:bottom w:val="none" w:sz="0" w:space="0" w:color="auto"/>
                    <w:right w:val="none" w:sz="0" w:space="0" w:color="auto"/>
                  </w:divBdr>
                  <w:divsChild>
                    <w:div w:id="609901531">
                      <w:marLeft w:val="0"/>
                      <w:marRight w:val="0"/>
                      <w:marTop w:val="0"/>
                      <w:marBottom w:val="0"/>
                      <w:divBdr>
                        <w:top w:val="none" w:sz="0" w:space="0" w:color="auto"/>
                        <w:left w:val="none" w:sz="0" w:space="0" w:color="auto"/>
                        <w:bottom w:val="none" w:sz="0" w:space="0" w:color="auto"/>
                        <w:right w:val="none" w:sz="0" w:space="0" w:color="auto"/>
                      </w:divBdr>
                    </w:div>
                  </w:divsChild>
                </w:div>
                <w:div w:id="489180798">
                  <w:marLeft w:val="0"/>
                  <w:marRight w:val="0"/>
                  <w:marTop w:val="0"/>
                  <w:marBottom w:val="0"/>
                  <w:divBdr>
                    <w:top w:val="none" w:sz="0" w:space="0" w:color="auto"/>
                    <w:left w:val="none" w:sz="0" w:space="0" w:color="auto"/>
                    <w:bottom w:val="none" w:sz="0" w:space="0" w:color="auto"/>
                    <w:right w:val="none" w:sz="0" w:space="0" w:color="auto"/>
                  </w:divBdr>
                  <w:divsChild>
                    <w:div w:id="999697282">
                      <w:marLeft w:val="0"/>
                      <w:marRight w:val="0"/>
                      <w:marTop w:val="0"/>
                      <w:marBottom w:val="0"/>
                      <w:divBdr>
                        <w:top w:val="none" w:sz="0" w:space="0" w:color="auto"/>
                        <w:left w:val="none" w:sz="0" w:space="0" w:color="auto"/>
                        <w:bottom w:val="none" w:sz="0" w:space="0" w:color="auto"/>
                        <w:right w:val="none" w:sz="0" w:space="0" w:color="auto"/>
                      </w:divBdr>
                    </w:div>
                  </w:divsChild>
                </w:div>
                <w:div w:id="607933450">
                  <w:marLeft w:val="0"/>
                  <w:marRight w:val="0"/>
                  <w:marTop w:val="0"/>
                  <w:marBottom w:val="0"/>
                  <w:divBdr>
                    <w:top w:val="none" w:sz="0" w:space="0" w:color="auto"/>
                    <w:left w:val="none" w:sz="0" w:space="0" w:color="auto"/>
                    <w:bottom w:val="none" w:sz="0" w:space="0" w:color="auto"/>
                    <w:right w:val="none" w:sz="0" w:space="0" w:color="auto"/>
                  </w:divBdr>
                  <w:divsChild>
                    <w:div w:id="1732734487">
                      <w:marLeft w:val="0"/>
                      <w:marRight w:val="0"/>
                      <w:marTop w:val="0"/>
                      <w:marBottom w:val="0"/>
                      <w:divBdr>
                        <w:top w:val="none" w:sz="0" w:space="0" w:color="auto"/>
                        <w:left w:val="none" w:sz="0" w:space="0" w:color="auto"/>
                        <w:bottom w:val="none" w:sz="0" w:space="0" w:color="auto"/>
                        <w:right w:val="none" w:sz="0" w:space="0" w:color="auto"/>
                      </w:divBdr>
                    </w:div>
                  </w:divsChild>
                </w:div>
                <w:div w:id="40833626">
                  <w:marLeft w:val="0"/>
                  <w:marRight w:val="0"/>
                  <w:marTop w:val="0"/>
                  <w:marBottom w:val="0"/>
                  <w:divBdr>
                    <w:top w:val="none" w:sz="0" w:space="0" w:color="auto"/>
                    <w:left w:val="none" w:sz="0" w:space="0" w:color="auto"/>
                    <w:bottom w:val="none" w:sz="0" w:space="0" w:color="auto"/>
                    <w:right w:val="none" w:sz="0" w:space="0" w:color="auto"/>
                  </w:divBdr>
                  <w:divsChild>
                    <w:div w:id="489054271">
                      <w:marLeft w:val="0"/>
                      <w:marRight w:val="0"/>
                      <w:marTop w:val="0"/>
                      <w:marBottom w:val="0"/>
                      <w:divBdr>
                        <w:top w:val="none" w:sz="0" w:space="0" w:color="auto"/>
                        <w:left w:val="none" w:sz="0" w:space="0" w:color="auto"/>
                        <w:bottom w:val="none" w:sz="0" w:space="0" w:color="auto"/>
                        <w:right w:val="none" w:sz="0" w:space="0" w:color="auto"/>
                      </w:divBdr>
                    </w:div>
                  </w:divsChild>
                </w:div>
                <w:div w:id="471750444">
                  <w:marLeft w:val="0"/>
                  <w:marRight w:val="0"/>
                  <w:marTop w:val="0"/>
                  <w:marBottom w:val="0"/>
                  <w:divBdr>
                    <w:top w:val="none" w:sz="0" w:space="0" w:color="auto"/>
                    <w:left w:val="none" w:sz="0" w:space="0" w:color="auto"/>
                    <w:bottom w:val="none" w:sz="0" w:space="0" w:color="auto"/>
                    <w:right w:val="none" w:sz="0" w:space="0" w:color="auto"/>
                  </w:divBdr>
                  <w:divsChild>
                    <w:div w:id="94592811">
                      <w:marLeft w:val="0"/>
                      <w:marRight w:val="0"/>
                      <w:marTop w:val="0"/>
                      <w:marBottom w:val="0"/>
                      <w:divBdr>
                        <w:top w:val="none" w:sz="0" w:space="0" w:color="auto"/>
                        <w:left w:val="none" w:sz="0" w:space="0" w:color="auto"/>
                        <w:bottom w:val="none" w:sz="0" w:space="0" w:color="auto"/>
                        <w:right w:val="none" w:sz="0" w:space="0" w:color="auto"/>
                      </w:divBdr>
                    </w:div>
                  </w:divsChild>
                </w:div>
                <w:div w:id="1608271592">
                  <w:marLeft w:val="0"/>
                  <w:marRight w:val="0"/>
                  <w:marTop w:val="0"/>
                  <w:marBottom w:val="0"/>
                  <w:divBdr>
                    <w:top w:val="none" w:sz="0" w:space="0" w:color="auto"/>
                    <w:left w:val="none" w:sz="0" w:space="0" w:color="auto"/>
                    <w:bottom w:val="none" w:sz="0" w:space="0" w:color="auto"/>
                    <w:right w:val="none" w:sz="0" w:space="0" w:color="auto"/>
                  </w:divBdr>
                  <w:divsChild>
                    <w:div w:id="1513107328">
                      <w:marLeft w:val="0"/>
                      <w:marRight w:val="0"/>
                      <w:marTop w:val="0"/>
                      <w:marBottom w:val="0"/>
                      <w:divBdr>
                        <w:top w:val="none" w:sz="0" w:space="0" w:color="auto"/>
                        <w:left w:val="none" w:sz="0" w:space="0" w:color="auto"/>
                        <w:bottom w:val="none" w:sz="0" w:space="0" w:color="auto"/>
                        <w:right w:val="none" w:sz="0" w:space="0" w:color="auto"/>
                      </w:divBdr>
                    </w:div>
                  </w:divsChild>
                </w:div>
                <w:div w:id="1213662246">
                  <w:marLeft w:val="0"/>
                  <w:marRight w:val="0"/>
                  <w:marTop w:val="0"/>
                  <w:marBottom w:val="0"/>
                  <w:divBdr>
                    <w:top w:val="none" w:sz="0" w:space="0" w:color="auto"/>
                    <w:left w:val="none" w:sz="0" w:space="0" w:color="auto"/>
                    <w:bottom w:val="none" w:sz="0" w:space="0" w:color="auto"/>
                    <w:right w:val="none" w:sz="0" w:space="0" w:color="auto"/>
                  </w:divBdr>
                  <w:divsChild>
                    <w:div w:id="1614820007">
                      <w:marLeft w:val="0"/>
                      <w:marRight w:val="0"/>
                      <w:marTop w:val="0"/>
                      <w:marBottom w:val="0"/>
                      <w:divBdr>
                        <w:top w:val="none" w:sz="0" w:space="0" w:color="auto"/>
                        <w:left w:val="none" w:sz="0" w:space="0" w:color="auto"/>
                        <w:bottom w:val="none" w:sz="0" w:space="0" w:color="auto"/>
                        <w:right w:val="none" w:sz="0" w:space="0" w:color="auto"/>
                      </w:divBdr>
                    </w:div>
                  </w:divsChild>
                </w:div>
                <w:div w:id="1975452701">
                  <w:marLeft w:val="0"/>
                  <w:marRight w:val="0"/>
                  <w:marTop w:val="0"/>
                  <w:marBottom w:val="0"/>
                  <w:divBdr>
                    <w:top w:val="none" w:sz="0" w:space="0" w:color="auto"/>
                    <w:left w:val="none" w:sz="0" w:space="0" w:color="auto"/>
                    <w:bottom w:val="none" w:sz="0" w:space="0" w:color="auto"/>
                    <w:right w:val="none" w:sz="0" w:space="0" w:color="auto"/>
                  </w:divBdr>
                  <w:divsChild>
                    <w:div w:id="832066339">
                      <w:marLeft w:val="0"/>
                      <w:marRight w:val="0"/>
                      <w:marTop w:val="0"/>
                      <w:marBottom w:val="0"/>
                      <w:divBdr>
                        <w:top w:val="none" w:sz="0" w:space="0" w:color="auto"/>
                        <w:left w:val="none" w:sz="0" w:space="0" w:color="auto"/>
                        <w:bottom w:val="none" w:sz="0" w:space="0" w:color="auto"/>
                        <w:right w:val="none" w:sz="0" w:space="0" w:color="auto"/>
                      </w:divBdr>
                    </w:div>
                  </w:divsChild>
                </w:div>
                <w:div w:id="1793597787">
                  <w:marLeft w:val="0"/>
                  <w:marRight w:val="0"/>
                  <w:marTop w:val="0"/>
                  <w:marBottom w:val="0"/>
                  <w:divBdr>
                    <w:top w:val="none" w:sz="0" w:space="0" w:color="auto"/>
                    <w:left w:val="none" w:sz="0" w:space="0" w:color="auto"/>
                    <w:bottom w:val="none" w:sz="0" w:space="0" w:color="auto"/>
                    <w:right w:val="none" w:sz="0" w:space="0" w:color="auto"/>
                  </w:divBdr>
                  <w:divsChild>
                    <w:div w:id="1336227066">
                      <w:marLeft w:val="0"/>
                      <w:marRight w:val="0"/>
                      <w:marTop w:val="0"/>
                      <w:marBottom w:val="0"/>
                      <w:divBdr>
                        <w:top w:val="none" w:sz="0" w:space="0" w:color="auto"/>
                        <w:left w:val="none" w:sz="0" w:space="0" w:color="auto"/>
                        <w:bottom w:val="none" w:sz="0" w:space="0" w:color="auto"/>
                        <w:right w:val="none" w:sz="0" w:space="0" w:color="auto"/>
                      </w:divBdr>
                    </w:div>
                  </w:divsChild>
                </w:div>
                <w:div w:id="181434385">
                  <w:marLeft w:val="0"/>
                  <w:marRight w:val="0"/>
                  <w:marTop w:val="0"/>
                  <w:marBottom w:val="0"/>
                  <w:divBdr>
                    <w:top w:val="none" w:sz="0" w:space="0" w:color="auto"/>
                    <w:left w:val="none" w:sz="0" w:space="0" w:color="auto"/>
                    <w:bottom w:val="none" w:sz="0" w:space="0" w:color="auto"/>
                    <w:right w:val="none" w:sz="0" w:space="0" w:color="auto"/>
                  </w:divBdr>
                  <w:divsChild>
                    <w:div w:id="895968667">
                      <w:marLeft w:val="0"/>
                      <w:marRight w:val="0"/>
                      <w:marTop w:val="0"/>
                      <w:marBottom w:val="0"/>
                      <w:divBdr>
                        <w:top w:val="none" w:sz="0" w:space="0" w:color="auto"/>
                        <w:left w:val="none" w:sz="0" w:space="0" w:color="auto"/>
                        <w:bottom w:val="none" w:sz="0" w:space="0" w:color="auto"/>
                        <w:right w:val="none" w:sz="0" w:space="0" w:color="auto"/>
                      </w:divBdr>
                    </w:div>
                  </w:divsChild>
                </w:div>
                <w:div w:id="1217470287">
                  <w:marLeft w:val="0"/>
                  <w:marRight w:val="0"/>
                  <w:marTop w:val="0"/>
                  <w:marBottom w:val="0"/>
                  <w:divBdr>
                    <w:top w:val="none" w:sz="0" w:space="0" w:color="auto"/>
                    <w:left w:val="none" w:sz="0" w:space="0" w:color="auto"/>
                    <w:bottom w:val="none" w:sz="0" w:space="0" w:color="auto"/>
                    <w:right w:val="none" w:sz="0" w:space="0" w:color="auto"/>
                  </w:divBdr>
                  <w:divsChild>
                    <w:div w:id="1081948349">
                      <w:marLeft w:val="0"/>
                      <w:marRight w:val="0"/>
                      <w:marTop w:val="0"/>
                      <w:marBottom w:val="0"/>
                      <w:divBdr>
                        <w:top w:val="none" w:sz="0" w:space="0" w:color="auto"/>
                        <w:left w:val="none" w:sz="0" w:space="0" w:color="auto"/>
                        <w:bottom w:val="none" w:sz="0" w:space="0" w:color="auto"/>
                        <w:right w:val="none" w:sz="0" w:space="0" w:color="auto"/>
                      </w:divBdr>
                    </w:div>
                  </w:divsChild>
                </w:div>
                <w:div w:id="717440330">
                  <w:marLeft w:val="0"/>
                  <w:marRight w:val="0"/>
                  <w:marTop w:val="0"/>
                  <w:marBottom w:val="0"/>
                  <w:divBdr>
                    <w:top w:val="none" w:sz="0" w:space="0" w:color="auto"/>
                    <w:left w:val="none" w:sz="0" w:space="0" w:color="auto"/>
                    <w:bottom w:val="none" w:sz="0" w:space="0" w:color="auto"/>
                    <w:right w:val="none" w:sz="0" w:space="0" w:color="auto"/>
                  </w:divBdr>
                  <w:divsChild>
                    <w:div w:id="900676006">
                      <w:marLeft w:val="0"/>
                      <w:marRight w:val="0"/>
                      <w:marTop w:val="0"/>
                      <w:marBottom w:val="0"/>
                      <w:divBdr>
                        <w:top w:val="none" w:sz="0" w:space="0" w:color="auto"/>
                        <w:left w:val="none" w:sz="0" w:space="0" w:color="auto"/>
                        <w:bottom w:val="none" w:sz="0" w:space="0" w:color="auto"/>
                        <w:right w:val="none" w:sz="0" w:space="0" w:color="auto"/>
                      </w:divBdr>
                    </w:div>
                  </w:divsChild>
                </w:div>
                <w:div w:id="1025593184">
                  <w:marLeft w:val="0"/>
                  <w:marRight w:val="0"/>
                  <w:marTop w:val="0"/>
                  <w:marBottom w:val="0"/>
                  <w:divBdr>
                    <w:top w:val="none" w:sz="0" w:space="0" w:color="auto"/>
                    <w:left w:val="none" w:sz="0" w:space="0" w:color="auto"/>
                    <w:bottom w:val="none" w:sz="0" w:space="0" w:color="auto"/>
                    <w:right w:val="none" w:sz="0" w:space="0" w:color="auto"/>
                  </w:divBdr>
                  <w:divsChild>
                    <w:div w:id="1271356370">
                      <w:marLeft w:val="0"/>
                      <w:marRight w:val="0"/>
                      <w:marTop w:val="0"/>
                      <w:marBottom w:val="0"/>
                      <w:divBdr>
                        <w:top w:val="none" w:sz="0" w:space="0" w:color="auto"/>
                        <w:left w:val="none" w:sz="0" w:space="0" w:color="auto"/>
                        <w:bottom w:val="none" w:sz="0" w:space="0" w:color="auto"/>
                        <w:right w:val="none" w:sz="0" w:space="0" w:color="auto"/>
                      </w:divBdr>
                    </w:div>
                  </w:divsChild>
                </w:div>
                <w:div w:id="553005001">
                  <w:marLeft w:val="0"/>
                  <w:marRight w:val="0"/>
                  <w:marTop w:val="0"/>
                  <w:marBottom w:val="0"/>
                  <w:divBdr>
                    <w:top w:val="none" w:sz="0" w:space="0" w:color="auto"/>
                    <w:left w:val="none" w:sz="0" w:space="0" w:color="auto"/>
                    <w:bottom w:val="none" w:sz="0" w:space="0" w:color="auto"/>
                    <w:right w:val="none" w:sz="0" w:space="0" w:color="auto"/>
                  </w:divBdr>
                  <w:divsChild>
                    <w:div w:id="963734563">
                      <w:marLeft w:val="0"/>
                      <w:marRight w:val="0"/>
                      <w:marTop w:val="0"/>
                      <w:marBottom w:val="0"/>
                      <w:divBdr>
                        <w:top w:val="none" w:sz="0" w:space="0" w:color="auto"/>
                        <w:left w:val="none" w:sz="0" w:space="0" w:color="auto"/>
                        <w:bottom w:val="none" w:sz="0" w:space="0" w:color="auto"/>
                        <w:right w:val="none" w:sz="0" w:space="0" w:color="auto"/>
                      </w:divBdr>
                    </w:div>
                  </w:divsChild>
                </w:div>
                <w:div w:id="1892568630">
                  <w:marLeft w:val="0"/>
                  <w:marRight w:val="0"/>
                  <w:marTop w:val="0"/>
                  <w:marBottom w:val="0"/>
                  <w:divBdr>
                    <w:top w:val="none" w:sz="0" w:space="0" w:color="auto"/>
                    <w:left w:val="none" w:sz="0" w:space="0" w:color="auto"/>
                    <w:bottom w:val="none" w:sz="0" w:space="0" w:color="auto"/>
                    <w:right w:val="none" w:sz="0" w:space="0" w:color="auto"/>
                  </w:divBdr>
                  <w:divsChild>
                    <w:div w:id="1283070871">
                      <w:marLeft w:val="0"/>
                      <w:marRight w:val="0"/>
                      <w:marTop w:val="0"/>
                      <w:marBottom w:val="0"/>
                      <w:divBdr>
                        <w:top w:val="none" w:sz="0" w:space="0" w:color="auto"/>
                        <w:left w:val="none" w:sz="0" w:space="0" w:color="auto"/>
                        <w:bottom w:val="none" w:sz="0" w:space="0" w:color="auto"/>
                        <w:right w:val="none" w:sz="0" w:space="0" w:color="auto"/>
                      </w:divBdr>
                    </w:div>
                  </w:divsChild>
                </w:div>
                <w:div w:id="699629338">
                  <w:marLeft w:val="0"/>
                  <w:marRight w:val="0"/>
                  <w:marTop w:val="0"/>
                  <w:marBottom w:val="0"/>
                  <w:divBdr>
                    <w:top w:val="none" w:sz="0" w:space="0" w:color="auto"/>
                    <w:left w:val="none" w:sz="0" w:space="0" w:color="auto"/>
                    <w:bottom w:val="none" w:sz="0" w:space="0" w:color="auto"/>
                    <w:right w:val="none" w:sz="0" w:space="0" w:color="auto"/>
                  </w:divBdr>
                  <w:divsChild>
                    <w:div w:id="437793083">
                      <w:marLeft w:val="0"/>
                      <w:marRight w:val="0"/>
                      <w:marTop w:val="0"/>
                      <w:marBottom w:val="0"/>
                      <w:divBdr>
                        <w:top w:val="none" w:sz="0" w:space="0" w:color="auto"/>
                        <w:left w:val="none" w:sz="0" w:space="0" w:color="auto"/>
                        <w:bottom w:val="none" w:sz="0" w:space="0" w:color="auto"/>
                        <w:right w:val="none" w:sz="0" w:space="0" w:color="auto"/>
                      </w:divBdr>
                    </w:div>
                  </w:divsChild>
                </w:div>
                <w:div w:id="762412451">
                  <w:marLeft w:val="0"/>
                  <w:marRight w:val="0"/>
                  <w:marTop w:val="0"/>
                  <w:marBottom w:val="0"/>
                  <w:divBdr>
                    <w:top w:val="none" w:sz="0" w:space="0" w:color="auto"/>
                    <w:left w:val="none" w:sz="0" w:space="0" w:color="auto"/>
                    <w:bottom w:val="none" w:sz="0" w:space="0" w:color="auto"/>
                    <w:right w:val="none" w:sz="0" w:space="0" w:color="auto"/>
                  </w:divBdr>
                  <w:divsChild>
                    <w:div w:id="761605328">
                      <w:marLeft w:val="0"/>
                      <w:marRight w:val="0"/>
                      <w:marTop w:val="0"/>
                      <w:marBottom w:val="0"/>
                      <w:divBdr>
                        <w:top w:val="none" w:sz="0" w:space="0" w:color="auto"/>
                        <w:left w:val="none" w:sz="0" w:space="0" w:color="auto"/>
                        <w:bottom w:val="none" w:sz="0" w:space="0" w:color="auto"/>
                        <w:right w:val="none" w:sz="0" w:space="0" w:color="auto"/>
                      </w:divBdr>
                    </w:div>
                  </w:divsChild>
                </w:div>
                <w:div w:id="782699225">
                  <w:marLeft w:val="0"/>
                  <w:marRight w:val="0"/>
                  <w:marTop w:val="0"/>
                  <w:marBottom w:val="0"/>
                  <w:divBdr>
                    <w:top w:val="none" w:sz="0" w:space="0" w:color="auto"/>
                    <w:left w:val="none" w:sz="0" w:space="0" w:color="auto"/>
                    <w:bottom w:val="none" w:sz="0" w:space="0" w:color="auto"/>
                    <w:right w:val="none" w:sz="0" w:space="0" w:color="auto"/>
                  </w:divBdr>
                  <w:divsChild>
                    <w:div w:id="356783437">
                      <w:marLeft w:val="0"/>
                      <w:marRight w:val="0"/>
                      <w:marTop w:val="0"/>
                      <w:marBottom w:val="0"/>
                      <w:divBdr>
                        <w:top w:val="none" w:sz="0" w:space="0" w:color="auto"/>
                        <w:left w:val="none" w:sz="0" w:space="0" w:color="auto"/>
                        <w:bottom w:val="none" w:sz="0" w:space="0" w:color="auto"/>
                        <w:right w:val="none" w:sz="0" w:space="0" w:color="auto"/>
                      </w:divBdr>
                    </w:div>
                  </w:divsChild>
                </w:div>
                <w:div w:id="1959289149">
                  <w:marLeft w:val="0"/>
                  <w:marRight w:val="0"/>
                  <w:marTop w:val="0"/>
                  <w:marBottom w:val="0"/>
                  <w:divBdr>
                    <w:top w:val="none" w:sz="0" w:space="0" w:color="auto"/>
                    <w:left w:val="none" w:sz="0" w:space="0" w:color="auto"/>
                    <w:bottom w:val="none" w:sz="0" w:space="0" w:color="auto"/>
                    <w:right w:val="none" w:sz="0" w:space="0" w:color="auto"/>
                  </w:divBdr>
                  <w:divsChild>
                    <w:div w:id="1148745839">
                      <w:marLeft w:val="0"/>
                      <w:marRight w:val="0"/>
                      <w:marTop w:val="0"/>
                      <w:marBottom w:val="0"/>
                      <w:divBdr>
                        <w:top w:val="none" w:sz="0" w:space="0" w:color="auto"/>
                        <w:left w:val="none" w:sz="0" w:space="0" w:color="auto"/>
                        <w:bottom w:val="none" w:sz="0" w:space="0" w:color="auto"/>
                        <w:right w:val="none" w:sz="0" w:space="0" w:color="auto"/>
                      </w:divBdr>
                    </w:div>
                  </w:divsChild>
                </w:div>
                <w:div w:id="2118326612">
                  <w:marLeft w:val="0"/>
                  <w:marRight w:val="0"/>
                  <w:marTop w:val="0"/>
                  <w:marBottom w:val="0"/>
                  <w:divBdr>
                    <w:top w:val="none" w:sz="0" w:space="0" w:color="auto"/>
                    <w:left w:val="none" w:sz="0" w:space="0" w:color="auto"/>
                    <w:bottom w:val="none" w:sz="0" w:space="0" w:color="auto"/>
                    <w:right w:val="none" w:sz="0" w:space="0" w:color="auto"/>
                  </w:divBdr>
                  <w:divsChild>
                    <w:div w:id="172961401">
                      <w:marLeft w:val="0"/>
                      <w:marRight w:val="0"/>
                      <w:marTop w:val="0"/>
                      <w:marBottom w:val="0"/>
                      <w:divBdr>
                        <w:top w:val="none" w:sz="0" w:space="0" w:color="auto"/>
                        <w:left w:val="none" w:sz="0" w:space="0" w:color="auto"/>
                        <w:bottom w:val="none" w:sz="0" w:space="0" w:color="auto"/>
                        <w:right w:val="none" w:sz="0" w:space="0" w:color="auto"/>
                      </w:divBdr>
                    </w:div>
                  </w:divsChild>
                </w:div>
                <w:div w:id="1941523996">
                  <w:marLeft w:val="0"/>
                  <w:marRight w:val="0"/>
                  <w:marTop w:val="0"/>
                  <w:marBottom w:val="0"/>
                  <w:divBdr>
                    <w:top w:val="none" w:sz="0" w:space="0" w:color="auto"/>
                    <w:left w:val="none" w:sz="0" w:space="0" w:color="auto"/>
                    <w:bottom w:val="none" w:sz="0" w:space="0" w:color="auto"/>
                    <w:right w:val="none" w:sz="0" w:space="0" w:color="auto"/>
                  </w:divBdr>
                  <w:divsChild>
                    <w:div w:id="993142449">
                      <w:marLeft w:val="0"/>
                      <w:marRight w:val="0"/>
                      <w:marTop w:val="0"/>
                      <w:marBottom w:val="0"/>
                      <w:divBdr>
                        <w:top w:val="none" w:sz="0" w:space="0" w:color="auto"/>
                        <w:left w:val="none" w:sz="0" w:space="0" w:color="auto"/>
                        <w:bottom w:val="none" w:sz="0" w:space="0" w:color="auto"/>
                        <w:right w:val="none" w:sz="0" w:space="0" w:color="auto"/>
                      </w:divBdr>
                    </w:div>
                  </w:divsChild>
                </w:div>
                <w:div w:id="536822511">
                  <w:marLeft w:val="0"/>
                  <w:marRight w:val="0"/>
                  <w:marTop w:val="0"/>
                  <w:marBottom w:val="0"/>
                  <w:divBdr>
                    <w:top w:val="none" w:sz="0" w:space="0" w:color="auto"/>
                    <w:left w:val="none" w:sz="0" w:space="0" w:color="auto"/>
                    <w:bottom w:val="none" w:sz="0" w:space="0" w:color="auto"/>
                    <w:right w:val="none" w:sz="0" w:space="0" w:color="auto"/>
                  </w:divBdr>
                  <w:divsChild>
                    <w:div w:id="710768976">
                      <w:marLeft w:val="0"/>
                      <w:marRight w:val="0"/>
                      <w:marTop w:val="0"/>
                      <w:marBottom w:val="0"/>
                      <w:divBdr>
                        <w:top w:val="none" w:sz="0" w:space="0" w:color="auto"/>
                        <w:left w:val="none" w:sz="0" w:space="0" w:color="auto"/>
                        <w:bottom w:val="none" w:sz="0" w:space="0" w:color="auto"/>
                        <w:right w:val="none" w:sz="0" w:space="0" w:color="auto"/>
                      </w:divBdr>
                    </w:div>
                  </w:divsChild>
                </w:div>
                <w:div w:id="556824858">
                  <w:marLeft w:val="0"/>
                  <w:marRight w:val="0"/>
                  <w:marTop w:val="0"/>
                  <w:marBottom w:val="0"/>
                  <w:divBdr>
                    <w:top w:val="none" w:sz="0" w:space="0" w:color="auto"/>
                    <w:left w:val="none" w:sz="0" w:space="0" w:color="auto"/>
                    <w:bottom w:val="none" w:sz="0" w:space="0" w:color="auto"/>
                    <w:right w:val="none" w:sz="0" w:space="0" w:color="auto"/>
                  </w:divBdr>
                  <w:divsChild>
                    <w:div w:id="1594047446">
                      <w:marLeft w:val="0"/>
                      <w:marRight w:val="0"/>
                      <w:marTop w:val="0"/>
                      <w:marBottom w:val="0"/>
                      <w:divBdr>
                        <w:top w:val="none" w:sz="0" w:space="0" w:color="auto"/>
                        <w:left w:val="none" w:sz="0" w:space="0" w:color="auto"/>
                        <w:bottom w:val="none" w:sz="0" w:space="0" w:color="auto"/>
                        <w:right w:val="none" w:sz="0" w:space="0" w:color="auto"/>
                      </w:divBdr>
                    </w:div>
                  </w:divsChild>
                </w:div>
                <w:div w:id="1646354252">
                  <w:marLeft w:val="0"/>
                  <w:marRight w:val="0"/>
                  <w:marTop w:val="0"/>
                  <w:marBottom w:val="0"/>
                  <w:divBdr>
                    <w:top w:val="none" w:sz="0" w:space="0" w:color="auto"/>
                    <w:left w:val="none" w:sz="0" w:space="0" w:color="auto"/>
                    <w:bottom w:val="none" w:sz="0" w:space="0" w:color="auto"/>
                    <w:right w:val="none" w:sz="0" w:space="0" w:color="auto"/>
                  </w:divBdr>
                  <w:divsChild>
                    <w:div w:id="143084418">
                      <w:marLeft w:val="0"/>
                      <w:marRight w:val="0"/>
                      <w:marTop w:val="0"/>
                      <w:marBottom w:val="0"/>
                      <w:divBdr>
                        <w:top w:val="none" w:sz="0" w:space="0" w:color="auto"/>
                        <w:left w:val="none" w:sz="0" w:space="0" w:color="auto"/>
                        <w:bottom w:val="none" w:sz="0" w:space="0" w:color="auto"/>
                        <w:right w:val="none" w:sz="0" w:space="0" w:color="auto"/>
                      </w:divBdr>
                    </w:div>
                  </w:divsChild>
                </w:div>
                <w:div w:id="426197576">
                  <w:marLeft w:val="0"/>
                  <w:marRight w:val="0"/>
                  <w:marTop w:val="0"/>
                  <w:marBottom w:val="0"/>
                  <w:divBdr>
                    <w:top w:val="none" w:sz="0" w:space="0" w:color="auto"/>
                    <w:left w:val="none" w:sz="0" w:space="0" w:color="auto"/>
                    <w:bottom w:val="none" w:sz="0" w:space="0" w:color="auto"/>
                    <w:right w:val="none" w:sz="0" w:space="0" w:color="auto"/>
                  </w:divBdr>
                  <w:divsChild>
                    <w:div w:id="466824005">
                      <w:marLeft w:val="0"/>
                      <w:marRight w:val="0"/>
                      <w:marTop w:val="0"/>
                      <w:marBottom w:val="0"/>
                      <w:divBdr>
                        <w:top w:val="none" w:sz="0" w:space="0" w:color="auto"/>
                        <w:left w:val="none" w:sz="0" w:space="0" w:color="auto"/>
                        <w:bottom w:val="none" w:sz="0" w:space="0" w:color="auto"/>
                        <w:right w:val="none" w:sz="0" w:space="0" w:color="auto"/>
                      </w:divBdr>
                    </w:div>
                  </w:divsChild>
                </w:div>
                <w:div w:id="969212434">
                  <w:marLeft w:val="0"/>
                  <w:marRight w:val="0"/>
                  <w:marTop w:val="0"/>
                  <w:marBottom w:val="0"/>
                  <w:divBdr>
                    <w:top w:val="none" w:sz="0" w:space="0" w:color="auto"/>
                    <w:left w:val="none" w:sz="0" w:space="0" w:color="auto"/>
                    <w:bottom w:val="none" w:sz="0" w:space="0" w:color="auto"/>
                    <w:right w:val="none" w:sz="0" w:space="0" w:color="auto"/>
                  </w:divBdr>
                  <w:divsChild>
                    <w:div w:id="1491411128">
                      <w:marLeft w:val="0"/>
                      <w:marRight w:val="0"/>
                      <w:marTop w:val="0"/>
                      <w:marBottom w:val="0"/>
                      <w:divBdr>
                        <w:top w:val="none" w:sz="0" w:space="0" w:color="auto"/>
                        <w:left w:val="none" w:sz="0" w:space="0" w:color="auto"/>
                        <w:bottom w:val="none" w:sz="0" w:space="0" w:color="auto"/>
                        <w:right w:val="none" w:sz="0" w:space="0" w:color="auto"/>
                      </w:divBdr>
                    </w:div>
                  </w:divsChild>
                </w:div>
                <w:div w:id="1748959433">
                  <w:marLeft w:val="0"/>
                  <w:marRight w:val="0"/>
                  <w:marTop w:val="0"/>
                  <w:marBottom w:val="0"/>
                  <w:divBdr>
                    <w:top w:val="none" w:sz="0" w:space="0" w:color="auto"/>
                    <w:left w:val="none" w:sz="0" w:space="0" w:color="auto"/>
                    <w:bottom w:val="none" w:sz="0" w:space="0" w:color="auto"/>
                    <w:right w:val="none" w:sz="0" w:space="0" w:color="auto"/>
                  </w:divBdr>
                  <w:divsChild>
                    <w:div w:id="1673533194">
                      <w:marLeft w:val="0"/>
                      <w:marRight w:val="0"/>
                      <w:marTop w:val="0"/>
                      <w:marBottom w:val="0"/>
                      <w:divBdr>
                        <w:top w:val="none" w:sz="0" w:space="0" w:color="auto"/>
                        <w:left w:val="none" w:sz="0" w:space="0" w:color="auto"/>
                        <w:bottom w:val="none" w:sz="0" w:space="0" w:color="auto"/>
                        <w:right w:val="none" w:sz="0" w:space="0" w:color="auto"/>
                      </w:divBdr>
                    </w:div>
                  </w:divsChild>
                </w:div>
                <w:div w:id="314915629">
                  <w:marLeft w:val="0"/>
                  <w:marRight w:val="0"/>
                  <w:marTop w:val="0"/>
                  <w:marBottom w:val="0"/>
                  <w:divBdr>
                    <w:top w:val="none" w:sz="0" w:space="0" w:color="auto"/>
                    <w:left w:val="none" w:sz="0" w:space="0" w:color="auto"/>
                    <w:bottom w:val="none" w:sz="0" w:space="0" w:color="auto"/>
                    <w:right w:val="none" w:sz="0" w:space="0" w:color="auto"/>
                  </w:divBdr>
                  <w:divsChild>
                    <w:div w:id="503859933">
                      <w:marLeft w:val="0"/>
                      <w:marRight w:val="0"/>
                      <w:marTop w:val="0"/>
                      <w:marBottom w:val="0"/>
                      <w:divBdr>
                        <w:top w:val="none" w:sz="0" w:space="0" w:color="auto"/>
                        <w:left w:val="none" w:sz="0" w:space="0" w:color="auto"/>
                        <w:bottom w:val="none" w:sz="0" w:space="0" w:color="auto"/>
                        <w:right w:val="none" w:sz="0" w:space="0" w:color="auto"/>
                      </w:divBdr>
                    </w:div>
                  </w:divsChild>
                </w:div>
                <w:div w:id="1393696486">
                  <w:marLeft w:val="0"/>
                  <w:marRight w:val="0"/>
                  <w:marTop w:val="0"/>
                  <w:marBottom w:val="0"/>
                  <w:divBdr>
                    <w:top w:val="none" w:sz="0" w:space="0" w:color="auto"/>
                    <w:left w:val="none" w:sz="0" w:space="0" w:color="auto"/>
                    <w:bottom w:val="none" w:sz="0" w:space="0" w:color="auto"/>
                    <w:right w:val="none" w:sz="0" w:space="0" w:color="auto"/>
                  </w:divBdr>
                  <w:divsChild>
                    <w:div w:id="1239245292">
                      <w:marLeft w:val="0"/>
                      <w:marRight w:val="0"/>
                      <w:marTop w:val="0"/>
                      <w:marBottom w:val="0"/>
                      <w:divBdr>
                        <w:top w:val="none" w:sz="0" w:space="0" w:color="auto"/>
                        <w:left w:val="none" w:sz="0" w:space="0" w:color="auto"/>
                        <w:bottom w:val="none" w:sz="0" w:space="0" w:color="auto"/>
                        <w:right w:val="none" w:sz="0" w:space="0" w:color="auto"/>
                      </w:divBdr>
                    </w:div>
                  </w:divsChild>
                </w:div>
                <w:div w:id="234627258">
                  <w:marLeft w:val="0"/>
                  <w:marRight w:val="0"/>
                  <w:marTop w:val="0"/>
                  <w:marBottom w:val="0"/>
                  <w:divBdr>
                    <w:top w:val="none" w:sz="0" w:space="0" w:color="auto"/>
                    <w:left w:val="none" w:sz="0" w:space="0" w:color="auto"/>
                    <w:bottom w:val="none" w:sz="0" w:space="0" w:color="auto"/>
                    <w:right w:val="none" w:sz="0" w:space="0" w:color="auto"/>
                  </w:divBdr>
                  <w:divsChild>
                    <w:div w:id="1812596857">
                      <w:marLeft w:val="0"/>
                      <w:marRight w:val="0"/>
                      <w:marTop w:val="0"/>
                      <w:marBottom w:val="0"/>
                      <w:divBdr>
                        <w:top w:val="none" w:sz="0" w:space="0" w:color="auto"/>
                        <w:left w:val="none" w:sz="0" w:space="0" w:color="auto"/>
                        <w:bottom w:val="none" w:sz="0" w:space="0" w:color="auto"/>
                        <w:right w:val="none" w:sz="0" w:space="0" w:color="auto"/>
                      </w:divBdr>
                    </w:div>
                  </w:divsChild>
                </w:div>
                <w:div w:id="606162093">
                  <w:marLeft w:val="0"/>
                  <w:marRight w:val="0"/>
                  <w:marTop w:val="0"/>
                  <w:marBottom w:val="0"/>
                  <w:divBdr>
                    <w:top w:val="none" w:sz="0" w:space="0" w:color="auto"/>
                    <w:left w:val="none" w:sz="0" w:space="0" w:color="auto"/>
                    <w:bottom w:val="none" w:sz="0" w:space="0" w:color="auto"/>
                    <w:right w:val="none" w:sz="0" w:space="0" w:color="auto"/>
                  </w:divBdr>
                  <w:divsChild>
                    <w:div w:id="587202678">
                      <w:marLeft w:val="0"/>
                      <w:marRight w:val="0"/>
                      <w:marTop w:val="0"/>
                      <w:marBottom w:val="0"/>
                      <w:divBdr>
                        <w:top w:val="none" w:sz="0" w:space="0" w:color="auto"/>
                        <w:left w:val="none" w:sz="0" w:space="0" w:color="auto"/>
                        <w:bottom w:val="none" w:sz="0" w:space="0" w:color="auto"/>
                        <w:right w:val="none" w:sz="0" w:space="0" w:color="auto"/>
                      </w:divBdr>
                    </w:div>
                  </w:divsChild>
                </w:div>
                <w:div w:id="1473476658">
                  <w:marLeft w:val="0"/>
                  <w:marRight w:val="0"/>
                  <w:marTop w:val="0"/>
                  <w:marBottom w:val="0"/>
                  <w:divBdr>
                    <w:top w:val="none" w:sz="0" w:space="0" w:color="auto"/>
                    <w:left w:val="none" w:sz="0" w:space="0" w:color="auto"/>
                    <w:bottom w:val="none" w:sz="0" w:space="0" w:color="auto"/>
                    <w:right w:val="none" w:sz="0" w:space="0" w:color="auto"/>
                  </w:divBdr>
                  <w:divsChild>
                    <w:div w:id="877859750">
                      <w:marLeft w:val="0"/>
                      <w:marRight w:val="0"/>
                      <w:marTop w:val="0"/>
                      <w:marBottom w:val="0"/>
                      <w:divBdr>
                        <w:top w:val="none" w:sz="0" w:space="0" w:color="auto"/>
                        <w:left w:val="none" w:sz="0" w:space="0" w:color="auto"/>
                        <w:bottom w:val="none" w:sz="0" w:space="0" w:color="auto"/>
                        <w:right w:val="none" w:sz="0" w:space="0" w:color="auto"/>
                      </w:divBdr>
                    </w:div>
                  </w:divsChild>
                </w:div>
                <w:div w:id="2025857516">
                  <w:marLeft w:val="0"/>
                  <w:marRight w:val="0"/>
                  <w:marTop w:val="0"/>
                  <w:marBottom w:val="0"/>
                  <w:divBdr>
                    <w:top w:val="none" w:sz="0" w:space="0" w:color="auto"/>
                    <w:left w:val="none" w:sz="0" w:space="0" w:color="auto"/>
                    <w:bottom w:val="none" w:sz="0" w:space="0" w:color="auto"/>
                    <w:right w:val="none" w:sz="0" w:space="0" w:color="auto"/>
                  </w:divBdr>
                  <w:divsChild>
                    <w:div w:id="1340081265">
                      <w:marLeft w:val="0"/>
                      <w:marRight w:val="0"/>
                      <w:marTop w:val="0"/>
                      <w:marBottom w:val="0"/>
                      <w:divBdr>
                        <w:top w:val="none" w:sz="0" w:space="0" w:color="auto"/>
                        <w:left w:val="none" w:sz="0" w:space="0" w:color="auto"/>
                        <w:bottom w:val="none" w:sz="0" w:space="0" w:color="auto"/>
                        <w:right w:val="none" w:sz="0" w:space="0" w:color="auto"/>
                      </w:divBdr>
                    </w:div>
                  </w:divsChild>
                </w:div>
                <w:div w:id="593586713">
                  <w:marLeft w:val="0"/>
                  <w:marRight w:val="0"/>
                  <w:marTop w:val="0"/>
                  <w:marBottom w:val="0"/>
                  <w:divBdr>
                    <w:top w:val="none" w:sz="0" w:space="0" w:color="auto"/>
                    <w:left w:val="none" w:sz="0" w:space="0" w:color="auto"/>
                    <w:bottom w:val="none" w:sz="0" w:space="0" w:color="auto"/>
                    <w:right w:val="none" w:sz="0" w:space="0" w:color="auto"/>
                  </w:divBdr>
                  <w:divsChild>
                    <w:div w:id="1816096229">
                      <w:marLeft w:val="0"/>
                      <w:marRight w:val="0"/>
                      <w:marTop w:val="0"/>
                      <w:marBottom w:val="0"/>
                      <w:divBdr>
                        <w:top w:val="none" w:sz="0" w:space="0" w:color="auto"/>
                        <w:left w:val="none" w:sz="0" w:space="0" w:color="auto"/>
                        <w:bottom w:val="none" w:sz="0" w:space="0" w:color="auto"/>
                        <w:right w:val="none" w:sz="0" w:space="0" w:color="auto"/>
                      </w:divBdr>
                    </w:div>
                  </w:divsChild>
                </w:div>
                <w:div w:id="1135416474">
                  <w:marLeft w:val="0"/>
                  <w:marRight w:val="0"/>
                  <w:marTop w:val="0"/>
                  <w:marBottom w:val="0"/>
                  <w:divBdr>
                    <w:top w:val="none" w:sz="0" w:space="0" w:color="auto"/>
                    <w:left w:val="none" w:sz="0" w:space="0" w:color="auto"/>
                    <w:bottom w:val="none" w:sz="0" w:space="0" w:color="auto"/>
                    <w:right w:val="none" w:sz="0" w:space="0" w:color="auto"/>
                  </w:divBdr>
                  <w:divsChild>
                    <w:div w:id="1798571427">
                      <w:marLeft w:val="0"/>
                      <w:marRight w:val="0"/>
                      <w:marTop w:val="0"/>
                      <w:marBottom w:val="0"/>
                      <w:divBdr>
                        <w:top w:val="none" w:sz="0" w:space="0" w:color="auto"/>
                        <w:left w:val="none" w:sz="0" w:space="0" w:color="auto"/>
                        <w:bottom w:val="none" w:sz="0" w:space="0" w:color="auto"/>
                        <w:right w:val="none" w:sz="0" w:space="0" w:color="auto"/>
                      </w:divBdr>
                    </w:div>
                  </w:divsChild>
                </w:div>
                <w:div w:id="426775900">
                  <w:marLeft w:val="0"/>
                  <w:marRight w:val="0"/>
                  <w:marTop w:val="0"/>
                  <w:marBottom w:val="0"/>
                  <w:divBdr>
                    <w:top w:val="none" w:sz="0" w:space="0" w:color="auto"/>
                    <w:left w:val="none" w:sz="0" w:space="0" w:color="auto"/>
                    <w:bottom w:val="none" w:sz="0" w:space="0" w:color="auto"/>
                    <w:right w:val="none" w:sz="0" w:space="0" w:color="auto"/>
                  </w:divBdr>
                  <w:divsChild>
                    <w:div w:id="1943953125">
                      <w:marLeft w:val="0"/>
                      <w:marRight w:val="0"/>
                      <w:marTop w:val="0"/>
                      <w:marBottom w:val="0"/>
                      <w:divBdr>
                        <w:top w:val="none" w:sz="0" w:space="0" w:color="auto"/>
                        <w:left w:val="none" w:sz="0" w:space="0" w:color="auto"/>
                        <w:bottom w:val="none" w:sz="0" w:space="0" w:color="auto"/>
                        <w:right w:val="none" w:sz="0" w:space="0" w:color="auto"/>
                      </w:divBdr>
                    </w:div>
                  </w:divsChild>
                </w:div>
                <w:div w:id="1780568077">
                  <w:marLeft w:val="0"/>
                  <w:marRight w:val="0"/>
                  <w:marTop w:val="0"/>
                  <w:marBottom w:val="0"/>
                  <w:divBdr>
                    <w:top w:val="none" w:sz="0" w:space="0" w:color="auto"/>
                    <w:left w:val="none" w:sz="0" w:space="0" w:color="auto"/>
                    <w:bottom w:val="none" w:sz="0" w:space="0" w:color="auto"/>
                    <w:right w:val="none" w:sz="0" w:space="0" w:color="auto"/>
                  </w:divBdr>
                  <w:divsChild>
                    <w:div w:id="1944412103">
                      <w:marLeft w:val="0"/>
                      <w:marRight w:val="0"/>
                      <w:marTop w:val="0"/>
                      <w:marBottom w:val="0"/>
                      <w:divBdr>
                        <w:top w:val="none" w:sz="0" w:space="0" w:color="auto"/>
                        <w:left w:val="none" w:sz="0" w:space="0" w:color="auto"/>
                        <w:bottom w:val="none" w:sz="0" w:space="0" w:color="auto"/>
                        <w:right w:val="none" w:sz="0" w:space="0" w:color="auto"/>
                      </w:divBdr>
                    </w:div>
                  </w:divsChild>
                </w:div>
                <w:div w:id="2000234896">
                  <w:marLeft w:val="0"/>
                  <w:marRight w:val="0"/>
                  <w:marTop w:val="0"/>
                  <w:marBottom w:val="0"/>
                  <w:divBdr>
                    <w:top w:val="none" w:sz="0" w:space="0" w:color="auto"/>
                    <w:left w:val="none" w:sz="0" w:space="0" w:color="auto"/>
                    <w:bottom w:val="none" w:sz="0" w:space="0" w:color="auto"/>
                    <w:right w:val="none" w:sz="0" w:space="0" w:color="auto"/>
                  </w:divBdr>
                  <w:divsChild>
                    <w:div w:id="336351050">
                      <w:marLeft w:val="0"/>
                      <w:marRight w:val="0"/>
                      <w:marTop w:val="0"/>
                      <w:marBottom w:val="0"/>
                      <w:divBdr>
                        <w:top w:val="none" w:sz="0" w:space="0" w:color="auto"/>
                        <w:left w:val="none" w:sz="0" w:space="0" w:color="auto"/>
                        <w:bottom w:val="none" w:sz="0" w:space="0" w:color="auto"/>
                        <w:right w:val="none" w:sz="0" w:space="0" w:color="auto"/>
                      </w:divBdr>
                    </w:div>
                  </w:divsChild>
                </w:div>
                <w:div w:id="960915267">
                  <w:marLeft w:val="0"/>
                  <w:marRight w:val="0"/>
                  <w:marTop w:val="0"/>
                  <w:marBottom w:val="0"/>
                  <w:divBdr>
                    <w:top w:val="none" w:sz="0" w:space="0" w:color="auto"/>
                    <w:left w:val="none" w:sz="0" w:space="0" w:color="auto"/>
                    <w:bottom w:val="none" w:sz="0" w:space="0" w:color="auto"/>
                    <w:right w:val="none" w:sz="0" w:space="0" w:color="auto"/>
                  </w:divBdr>
                  <w:divsChild>
                    <w:div w:id="166134305">
                      <w:marLeft w:val="0"/>
                      <w:marRight w:val="0"/>
                      <w:marTop w:val="0"/>
                      <w:marBottom w:val="0"/>
                      <w:divBdr>
                        <w:top w:val="none" w:sz="0" w:space="0" w:color="auto"/>
                        <w:left w:val="none" w:sz="0" w:space="0" w:color="auto"/>
                        <w:bottom w:val="none" w:sz="0" w:space="0" w:color="auto"/>
                        <w:right w:val="none" w:sz="0" w:space="0" w:color="auto"/>
                      </w:divBdr>
                    </w:div>
                  </w:divsChild>
                </w:div>
                <w:div w:id="474495684">
                  <w:marLeft w:val="0"/>
                  <w:marRight w:val="0"/>
                  <w:marTop w:val="0"/>
                  <w:marBottom w:val="0"/>
                  <w:divBdr>
                    <w:top w:val="none" w:sz="0" w:space="0" w:color="auto"/>
                    <w:left w:val="none" w:sz="0" w:space="0" w:color="auto"/>
                    <w:bottom w:val="none" w:sz="0" w:space="0" w:color="auto"/>
                    <w:right w:val="none" w:sz="0" w:space="0" w:color="auto"/>
                  </w:divBdr>
                  <w:divsChild>
                    <w:div w:id="667825753">
                      <w:marLeft w:val="0"/>
                      <w:marRight w:val="0"/>
                      <w:marTop w:val="0"/>
                      <w:marBottom w:val="0"/>
                      <w:divBdr>
                        <w:top w:val="none" w:sz="0" w:space="0" w:color="auto"/>
                        <w:left w:val="none" w:sz="0" w:space="0" w:color="auto"/>
                        <w:bottom w:val="none" w:sz="0" w:space="0" w:color="auto"/>
                        <w:right w:val="none" w:sz="0" w:space="0" w:color="auto"/>
                      </w:divBdr>
                    </w:div>
                  </w:divsChild>
                </w:div>
                <w:div w:id="186720200">
                  <w:marLeft w:val="0"/>
                  <w:marRight w:val="0"/>
                  <w:marTop w:val="0"/>
                  <w:marBottom w:val="0"/>
                  <w:divBdr>
                    <w:top w:val="none" w:sz="0" w:space="0" w:color="auto"/>
                    <w:left w:val="none" w:sz="0" w:space="0" w:color="auto"/>
                    <w:bottom w:val="none" w:sz="0" w:space="0" w:color="auto"/>
                    <w:right w:val="none" w:sz="0" w:space="0" w:color="auto"/>
                  </w:divBdr>
                  <w:divsChild>
                    <w:div w:id="451099479">
                      <w:marLeft w:val="0"/>
                      <w:marRight w:val="0"/>
                      <w:marTop w:val="0"/>
                      <w:marBottom w:val="0"/>
                      <w:divBdr>
                        <w:top w:val="none" w:sz="0" w:space="0" w:color="auto"/>
                        <w:left w:val="none" w:sz="0" w:space="0" w:color="auto"/>
                        <w:bottom w:val="none" w:sz="0" w:space="0" w:color="auto"/>
                        <w:right w:val="none" w:sz="0" w:space="0" w:color="auto"/>
                      </w:divBdr>
                    </w:div>
                  </w:divsChild>
                </w:div>
                <w:div w:id="1065641123">
                  <w:marLeft w:val="0"/>
                  <w:marRight w:val="0"/>
                  <w:marTop w:val="0"/>
                  <w:marBottom w:val="0"/>
                  <w:divBdr>
                    <w:top w:val="none" w:sz="0" w:space="0" w:color="auto"/>
                    <w:left w:val="none" w:sz="0" w:space="0" w:color="auto"/>
                    <w:bottom w:val="none" w:sz="0" w:space="0" w:color="auto"/>
                    <w:right w:val="none" w:sz="0" w:space="0" w:color="auto"/>
                  </w:divBdr>
                  <w:divsChild>
                    <w:div w:id="1420830271">
                      <w:marLeft w:val="0"/>
                      <w:marRight w:val="0"/>
                      <w:marTop w:val="0"/>
                      <w:marBottom w:val="0"/>
                      <w:divBdr>
                        <w:top w:val="none" w:sz="0" w:space="0" w:color="auto"/>
                        <w:left w:val="none" w:sz="0" w:space="0" w:color="auto"/>
                        <w:bottom w:val="none" w:sz="0" w:space="0" w:color="auto"/>
                        <w:right w:val="none" w:sz="0" w:space="0" w:color="auto"/>
                      </w:divBdr>
                    </w:div>
                  </w:divsChild>
                </w:div>
                <w:div w:id="2098868999">
                  <w:marLeft w:val="0"/>
                  <w:marRight w:val="0"/>
                  <w:marTop w:val="0"/>
                  <w:marBottom w:val="0"/>
                  <w:divBdr>
                    <w:top w:val="none" w:sz="0" w:space="0" w:color="auto"/>
                    <w:left w:val="none" w:sz="0" w:space="0" w:color="auto"/>
                    <w:bottom w:val="none" w:sz="0" w:space="0" w:color="auto"/>
                    <w:right w:val="none" w:sz="0" w:space="0" w:color="auto"/>
                  </w:divBdr>
                  <w:divsChild>
                    <w:div w:id="2025395605">
                      <w:marLeft w:val="0"/>
                      <w:marRight w:val="0"/>
                      <w:marTop w:val="0"/>
                      <w:marBottom w:val="0"/>
                      <w:divBdr>
                        <w:top w:val="none" w:sz="0" w:space="0" w:color="auto"/>
                        <w:left w:val="none" w:sz="0" w:space="0" w:color="auto"/>
                        <w:bottom w:val="none" w:sz="0" w:space="0" w:color="auto"/>
                        <w:right w:val="none" w:sz="0" w:space="0" w:color="auto"/>
                      </w:divBdr>
                    </w:div>
                  </w:divsChild>
                </w:div>
                <w:div w:id="869104949">
                  <w:marLeft w:val="0"/>
                  <w:marRight w:val="0"/>
                  <w:marTop w:val="0"/>
                  <w:marBottom w:val="0"/>
                  <w:divBdr>
                    <w:top w:val="none" w:sz="0" w:space="0" w:color="auto"/>
                    <w:left w:val="none" w:sz="0" w:space="0" w:color="auto"/>
                    <w:bottom w:val="none" w:sz="0" w:space="0" w:color="auto"/>
                    <w:right w:val="none" w:sz="0" w:space="0" w:color="auto"/>
                  </w:divBdr>
                  <w:divsChild>
                    <w:div w:id="984892776">
                      <w:marLeft w:val="0"/>
                      <w:marRight w:val="0"/>
                      <w:marTop w:val="0"/>
                      <w:marBottom w:val="0"/>
                      <w:divBdr>
                        <w:top w:val="none" w:sz="0" w:space="0" w:color="auto"/>
                        <w:left w:val="none" w:sz="0" w:space="0" w:color="auto"/>
                        <w:bottom w:val="none" w:sz="0" w:space="0" w:color="auto"/>
                        <w:right w:val="none" w:sz="0" w:space="0" w:color="auto"/>
                      </w:divBdr>
                    </w:div>
                  </w:divsChild>
                </w:div>
                <w:div w:id="1806773621">
                  <w:marLeft w:val="0"/>
                  <w:marRight w:val="0"/>
                  <w:marTop w:val="0"/>
                  <w:marBottom w:val="0"/>
                  <w:divBdr>
                    <w:top w:val="none" w:sz="0" w:space="0" w:color="auto"/>
                    <w:left w:val="none" w:sz="0" w:space="0" w:color="auto"/>
                    <w:bottom w:val="none" w:sz="0" w:space="0" w:color="auto"/>
                    <w:right w:val="none" w:sz="0" w:space="0" w:color="auto"/>
                  </w:divBdr>
                  <w:divsChild>
                    <w:div w:id="192234563">
                      <w:marLeft w:val="0"/>
                      <w:marRight w:val="0"/>
                      <w:marTop w:val="0"/>
                      <w:marBottom w:val="0"/>
                      <w:divBdr>
                        <w:top w:val="none" w:sz="0" w:space="0" w:color="auto"/>
                        <w:left w:val="none" w:sz="0" w:space="0" w:color="auto"/>
                        <w:bottom w:val="none" w:sz="0" w:space="0" w:color="auto"/>
                        <w:right w:val="none" w:sz="0" w:space="0" w:color="auto"/>
                      </w:divBdr>
                    </w:div>
                  </w:divsChild>
                </w:div>
                <w:div w:id="1970814276">
                  <w:marLeft w:val="0"/>
                  <w:marRight w:val="0"/>
                  <w:marTop w:val="0"/>
                  <w:marBottom w:val="0"/>
                  <w:divBdr>
                    <w:top w:val="none" w:sz="0" w:space="0" w:color="auto"/>
                    <w:left w:val="none" w:sz="0" w:space="0" w:color="auto"/>
                    <w:bottom w:val="none" w:sz="0" w:space="0" w:color="auto"/>
                    <w:right w:val="none" w:sz="0" w:space="0" w:color="auto"/>
                  </w:divBdr>
                  <w:divsChild>
                    <w:div w:id="2038461825">
                      <w:marLeft w:val="0"/>
                      <w:marRight w:val="0"/>
                      <w:marTop w:val="0"/>
                      <w:marBottom w:val="0"/>
                      <w:divBdr>
                        <w:top w:val="none" w:sz="0" w:space="0" w:color="auto"/>
                        <w:left w:val="none" w:sz="0" w:space="0" w:color="auto"/>
                        <w:bottom w:val="none" w:sz="0" w:space="0" w:color="auto"/>
                        <w:right w:val="none" w:sz="0" w:space="0" w:color="auto"/>
                      </w:divBdr>
                    </w:div>
                  </w:divsChild>
                </w:div>
                <w:div w:id="2050492837">
                  <w:marLeft w:val="0"/>
                  <w:marRight w:val="0"/>
                  <w:marTop w:val="0"/>
                  <w:marBottom w:val="0"/>
                  <w:divBdr>
                    <w:top w:val="none" w:sz="0" w:space="0" w:color="auto"/>
                    <w:left w:val="none" w:sz="0" w:space="0" w:color="auto"/>
                    <w:bottom w:val="none" w:sz="0" w:space="0" w:color="auto"/>
                    <w:right w:val="none" w:sz="0" w:space="0" w:color="auto"/>
                  </w:divBdr>
                  <w:divsChild>
                    <w:div w:id="75172598">
                      <w:marLeft w:val="0"/>
                      <w:marRight w:val="0"/>
                      <w:marTop w:val="0"/>
                      <w:marBottom w:val="0"/>
                      <w:divBdr>
                        <w:top w:val="none" w:sz="0" w:space="0" w:color="auto"/>
                        <w:left w:val="none" w:sz="0" w:space="0" w:color="auto"/>
                        <w:bottom w:val="none" w:sz="0" w:space="0" w:color="auto"/>
                        <w:right w:val="none" w:sz="0" w:space="0" w:color="auto"/>
                      </w:divBdr>
                    </w:div>
                  </w:divsChild>
                </w:div>
                <w:div w:id="1134523393">
                  <w:marLeft w:val="0"/>
                  <w:marRight w:val="0"/>
                  <w:marTop w:val="0"/>
                  <w:marBottom w:val="0"/>
                  <w:divBdr>
                    <w:top w:val="none" w:sz="0" w:space="0" w:color="auto"/>
                    <w:left w:val="none" w:sz="0" w:space="0" w:color="auto"/>
                    <w:bottom w:val="none" w:sz="0" w:space="0" w:color="auto"/>
                    <w:right w:val="none" w:sz="0" w:space="0" w:color="auto"/>
                  </w:divBdr>
                  <w:divsChild>
                    <w:div w:id="2076119146">
                      <w:marLeft w:val="0"/>
                      <w:marRight w:val="0"/>
                      <w:marTop w:val="0"/>
                      <w:marBottom w:val="0"/>
                      <w:divBdr>
                        <w:top w:val="none" w:sz="0" w:space="0" w:color="auto"/>
                        <w:left w:val="none" w:sz="0" w:space="0" w:color="auto"/>
                        <w:bottom w:val="none" w:sz="0" w:space="0" w:color="auto"/>
                        <w:right w:val="none" w:sz="0" w:space="0" w:color="auto"/>
                      </w:divBdr>
                    </w:div>
                  </w:divsChild>
                </w:div>
                <w:div w:id="1148782003">
                  <w:marLeft w:val="0"/>
                  <w:marRight w:val="0"/>
                  <w:marTop w:val="0"/>
                  <w:marBottom w:val="0"/>
                  <w:divBdr>
                    <w:top w:val="none" w:sz="0" w:space="0" w:color="auto"/>
                    <w:left w:val="none" w:sz="0" w:space="0" w:color="auto"/>
                    <w:bottom w:val="none" w:sz="0" w:space="0" w:color="auto"/>
                    <w:right w:val="none" w:sz="0" w:space="0" w:color="auto"/>
                  </w:divBdr>
                  <w:divsChild>
                    <w:div w:id="2001735196">
                      <w:marLeft w:val="0"/>
                      <w:marRight w:val="0"/>
                      <w:marTop w:val="0"/>
                      <w:marBottom w:val="0"/>
                      <w:divBdr>
                        <w:top w:val="none" w:sz="0" w:space="0" w:color="auto"/>
                        <w:left w:val="none" w:sz="0" w:space="0" w:color="auto"/>
                        <w:bottom w:val="none" w:sz="0" w:space="0" w:color="auto"/>
                        <w:right w:val="none" w:sz="0" w:space="0" w:color="auto"/>
                      </w:divBdr>
                    </w:div>
                  </w:divsChild>
                </w:div>
                <w:div w:id="1710183095">
                  <w:marLeft w:val="0"/>
                  <w:marRight w:val="0"/>
                  <w:marTop w:val="0"/>
                  <w:marBottom w:val="0"/>
                  <w:divBdr>
                    <w:top w:val="none" w:sz="0" w:space="0" w:color="auto"/>
                    <w:left w:val="none" w:sz="0" w:space="0" w:color="auto"/>
                    <w:bottom w:val="none" w:sz="0" w:space="0" w:color="auto"/>
                    <w:right w:val="none" w:sz="0" w:space="0" w:color="auto"/>
                  </w:divBdr>
                  <w:divsChild>
                    <w:div w:id="715281964">
                      <w:marLeft w:val="0"/>
                      <w:marRight w:val="0"/>
                      <w:marTop w:val="0"/>
                      <w:marBottom w:val="0"/>
                      <w:divBdr>
                        <w:top w:val="none" w:sz="0" w:space="0" w:color="auto"/>
                        <w:left w:val="none" w:sz="0" w:space="0" w:color="auto"/>
                        <w:bottom w:val="none" w:sz="0" w:space="0" w:color="auto"/>
                        <w:right w:val="none" w:sz="0" w:space="0" w:color="auto"/>
                      </w:divBdr>
                    </w:div>
                  </w:divsChild>
                </w:div>
                <w:div w:id="1495536641">
                  <w:marLeft w:val="0"/>
                  <w:marRight w:val="0"/>
                  <w:marTop w:val="0"/>
                  <w:marBottom w:val="0"/>
                  <w:divBdr>
                    <w:top w:val="none" w:sz="0" w:space="0" w:color="auto"/>
                    <w:left w:val="none" w:sz="0" w:space="0" w:color="auto"/>
                    <w:bottom w:val="none" w:sz="0" w:space="0" w:color="auto"/>
                    <w:right w:val="none" w:sz="0" w:space="0" w:color="auto"/>
                  </w:divBdr>
                  <w:divsChild>
                    <w:div w:id="1187207193">
                      <w:marLeft w:val="0"/>
                      <w:marRight w:val="0"/>
                      <w:marTop w:val="0"/>
                      <w:marBottom w:val="0"/>
                      <w:divBdr>
                        <w:top w:val="none" w:sz="0" w:space="0" w:color="auto"/>
                        <w:left w:val="none" w:sz="0" w:space="0" w:color="auto"/>
                        <w:bottom w:val="none" w:sz="0" w:space="0" w:color="auto"/>
                        <w:right w:val="none" w:sz="0" w:space="0" w:color="auto"/>
                      </w:divBdr>
                    </w:div>
                  </w:divsChild>
                </w:div>
                <w:div w:id="589050597">
                  <w:marLeft w:val="0"/>
                  <w:marRight w:val="0"/>
                  <w:marTop w:val="0"/>
                  <w:marBottom w:val="0"/>
                  <w:divBdr>
                    <w:top w:val="none" w:sz="0" w:space="0" w:color="auto"/>
                    <w:left w:val="none" w:sz="0" w:space="0" w:color="auto"/>
                    <w:bottom w:val="none" w:sz="0" w:space="0" w:color="auto"/>
                    <w:right w:val="none" w:sz="0" w:space="0" w:color="auto"/>
                  </w:divBdr>
                  <w:divsChild>
                    <w:div w:id="154222444">
                      <w:marLeft w:val="0"/>
                      <w:marRight w:val="0"/>
                      <w:marTop w:val="0"/>
                      <w:marBottom w:val="0"/>
                      <w:divBdr>
                        <w:top w:val="none" w:sz="0" w:space="0" w:color="auto"/>
                        <w:left w:val="none" w:sz="0" w:space="0" w:color="auto"/>
                        <w:bottom w:val="none" w:sz="0" w:space="0" w:color="auto"/>
                        <w:right w:val="none" w:sz="0" w:space="0" w:color="auto"/>
                      </w:divBdr>
                    </w:div>
                  </w:divsChild>
                </w:div>
                <w:div w:id="827136885">
                  <w:marLeft w:val="0"/>
                  <w:marRight w:val="0"/>
                  <w:marTop w:val="0"/>
                  <w:marBottom w:val="0"/>
                  <w:divBdr>
                    <w:top w:val="none" w:sz="0" w:space="0" w:color="auto"/>
                    <w:left w:val="none" w:sz="0" w:space="0" w:color="auto"/>
                    <w:bottom w:val="none" w:sz="0" w:space="0" w:color="auto"/>
                    <w:right w:val="none" w:sz="0" w:space="0" w:color="auto"/>
                  </w:divBdr>
                  <w:divsChild>
                    <w:div w:id="360858597">
                      <w:marLeft w:val="0"/>
                      <w:marRight w:val="0"/>
                      <w:marTop w:val="0"/>
                      <w:marBottom w:val="0"/>
                      <w:divBdr>
                        <w:top w:val="none" w:sz="0" w:space="0" w:color="auto"/>
                        <w:left w:val="none" w:sz="0" w:space="0" w:color="auto"/>
                        <w:bottom w:val="none" w:sz="0" w:space="0" w:color="auto"/>
                        <w:right w:val="none" w:sz="0" w:space="0" w:color="auto"/>
                      </w:divBdr>
                    </w:div>
                  </w:divsChild>
                </w:div>
                <w:div w:id="759713518">
                  <w:marLeft w:val="0"/>
                  <w:marRight w:val="0"/>
                  <w:marTop w:val="0"/>
                  <w:marBottom w:val="0"/>
                  <w:divBdr>
                    <w:top w:val="none" w:sz="0" w:space="0" w:color="auto"/>
                    <w:left w:val="none" w:sz="0" w:space="0" w:color="auto"/>
                    <w:bottom w:val="none" w:sz="0" w:space="0" w:color="auto"/>
                    <w:right w:val="none" w:sz="0" w:space="0" w:color="auto"/>
                  </w:divBdr>
                  <w:divsChild>
                    <w:div w:id="191878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959092">
          <w:marLeft w:val="0"/>
          <w:marRight w:val="0"/>
          <w:marTop w:val="0"/>
          <w:marBottom w:val="0"/>
          <w:divBdr>
            <w:top w:val="none" w:sz="0" w:space="0" w:color="auto"/>
            <w:left w:val="none" w:sz="0" w:space="0" w:color="auto"/>
            <w:bottom w:val="none" w:sz="0" w:space="0" w:color="auto"/>
            <w:right w:val="none" w:sz="0" w:space="0" w:color="auto"/>
          </w:divBdr>
        </w:div>
        <w:div w:id="134302789">
          <w:marLeft w:val="0"/>
          <w:marRight w:val="0"/>
          <w:marTop w:val="0"/>
          <w:marBottom w:val="0"/>
          <w:divBdr>
            <w:top w:val="none" w:sz="0" w:space="0" w:color="auto"/>
            <w:left w:val="none" w:sz="0" w:space="0" w:color="auto"/>
            <w:bottom w:val="none" w:sz="0" w:space="0" w:color="auto"/>
            <w:right w:val="none" w:sz="0" w:space="0" w:color="auto"/>
          </w:divBdr>
        </w:div>
        <w:div w:id="480972360">
          <w:marLeft w:val="0"/>
          <w:marRight w:val="0"/>
          <w:marTop w:val="0"/>
          <w:marBottom w:val="0"/>
          <w:divBdr>
            <w:top w:val="none" w:sz="0" w:space="0" w:color="auto"/>
            <w:left w:val="none" w:sz="0" w:space="0" w:color="auto"/>
            <w:bottom w:val="none" w:sz="0" w:space="0" w:color="auto"/>
            <w:right w:val="none" w:sz="0" w:space="0" w:color="auto"/>
          </w:divBdr>
          <w:divsChild>
            <w:div w:id="1115055839">
              <w:marLeft w:val="-75"/>
              <w:marRight w:val="0"/>
              <w:marTop w:val="30"/>
              <w:marBottom w:val="30"/>
              <w:divBdr>
                <w:top w:val="none" w:sz="0" w:space="0" w:color="auto"/>
                <w:left w:val="none" w:sz="0" w:space="0" w:color="auto"/>
                <w:bottom w:val="none" w:sz="0" w:space="0" w:color="auto"/>
                <w:right w:val="none" w:sz="0" w:space="0" w:color="auto"/>
              </w:divBdr>
              <w:divsChild>
                <w:div w:id="1394739940">
                  <w:marLeft w:val="0"/>
                  <w:marRight w:val="0"/>
                  <w:marTop w:val="0"/>
                  <w:marBottom w:val="0"/>
                  <w:divBdr>
                    <w:top w:val="none" w:sz="0" w:space="0" w:color="auto"/>
                    <w:left w:val="none" w:sz="0" w:space="0" w:color="auto"/>
                    <w:bottom w:val="none" w:sz="0" w:space="0" w:color="auto"/>
                    <w:right w:val="none" w:sz="0" w:space="0" w:color="auto"/>
                  </w:divBdr>
                  <w:divsChild>
                    <w:div w:id="360009022">
                      <w:marLeft w:val="0"/>
                      <w:marRight w:val="0"/>
                      <w:marTop w:val="0"/>
                      <w:marBottom w:val="0"/>
                      <w:divBdr>
                        <w:top w:val="none" w:sz="0" w:space="0" w:color="auto"/>
                        <w:left w:val="none" w:sz="0" w:space="0" w:color="auto"/>
                        <w:bottom w:val="none" w:sz="0" w:space="0" w:color="auto"/>
                        <w:right w:val="none" w:sz="0" w:space="0" w:color="auto"/>
                      </w:divBdr>
                    </w:div>
                  </w:divsChild>
                </w:div>
                <w:div w:id="1221213595">
                  <w:marLeft w:val="0"/>
                  <w:marRight w:val="0"/>
                  <w:marTop w:val="0"/>
                  <w:marBottom w:val="0"/>
                  <w:divBdr>
                    <w:top w:val="none" w:sz="0" w:space="0" w:color="auto"/>
                    <w:left w:val="none" w:sz="0" w:space="0" w:color="auto"/>
                    <w:bottom w:val="none" w:sz="0" w:space="0" w:color="auto"/>
                    <w:right w:val="none" w:sz="0" w:space="0" w:color="auto"/>
                  </w:divBdr>
                  <w:divsChild>
                    <w:div w:id="1257976454">
                      <w:marLeft w:val="0"/>
                      <w:marRight w:val="0"/>
                      <w:marTop w:val="0"/>
                      <w:marBottom w:val="0"/>
                      <w:divBdr>
                        <w:top w:val="none" w:sz="0" w:space="0" w:color="auto"/>
                        <w:left w:val="none" w:sz="0" w:space="0" w:color="auto"/>
                        <w:bottom w:val="none" w:sz="0" w:space="0" w:color="auto"/>
                        <w:right w:val="none" w:sz="0" w:space="0" w:color="auto"/>
                      </w:divBdr>
                    </w:div>
                  </w:divsChild>
                </w:div>
                <w:div w:id="427429984">
                  <w:marLeft w:val="0"/>
                  <w:marRight w:val="0"/>
                  <w:marTop w:val="0"/>
                  <w:marBottom w:val="0"/>
                  <w:divBdr>
                    <w:top w:val="none" w:sz="0" w:space="0" w:color="auto"/>
                    <w:left w:val="none" w:sz="0" w:space="0" w:color="auto"/>
                    <w:bottom w:val="none" w:sz="0" w:space="0" w:color="auto"/>
                    <w:right w:val="none" w:sz="0" w:space="0" w:color="auto"/>
                  </w:divBdr>
                  <w:divsChild>
                    <w:div w:id="1950820502">
                      <w:marLeft w:val="0"/>
                      <w:marRight w:val="0"/>
                      <w:marTop w:val="0"/>
                      <w:marBottom w:val="0"/>
                      <w:divBdr>
                        <w:top w:val="none" w:sz="0" w:space="0" w:color="auto"/>
                        <w:left w:val="none" w:sz="0" w:space="0" w:color="auto"/>
                        <w:bottom w:val="none" w:sz="0" w:space="0" w:color="auto"/>
                        <w:right w:val="none" w:sz="0" w:space="0" w:color="auto"/>
                      </w:divBdr>
                    </w:div>
                  </w:divsChild>
                </w:div>
                <w:div w:id="1206983997">
                  <w:marLeft w:val="0"/>
                  <w:marRight w:val="0"/>
                  <w:marTop w:val="0"/>
                  <w:marBottom w:val="0"/>
                  <w:divBdr>
                    <w:top w:val="none" w:sz="0" w:space="0" w:color="auto"/>
                    <w:left w:val="none" w:sz="0" w:space="0" w:color="auto"/>
                    <w:bottom w:val="none" w:sz="0" w:space="0" w:color="auto"/>
                    <w:right w:val="none" w:sz="0" w:space="0" w:color="auto"/>
                  </w:divBdr>
                  <w:divsChild>
                    <w:div w:id="1013920006">
                      <w:marLeft w:val="0"/>
                      <w:marRight w:val="0"/>
                      <w:marTop w:val="0"/>
                      <w:marBottom w:val="0"/>
                      <w:divBdr>
                        <w:top w:val="none" w:sz="0" w:space="0" w:color="auto"/>
                        <w:left w:val="none" w:sz="0" w:space="0" w:color="auto"/>
                        <w:bottom w:val="none" w:sz="0" w:space="0" w:color="auto"/>
                        <w:right w:val="none" w:sz="0" w:space="0" w:color="auto"/>
                      </w:divBdr>
                    </w:div>
                  </w:divsChild>
                </w:div>
                <w:div w:id="1643271416">
                  <w:marLeft w:val="0"/>
                  <w:marRight w:val="0"/>
                  <w:marTop w:val="0"/>
                  <w:marBottom w:val="0"/>
                  <w:divBdr>
                    <w:top w:val="none" w:sz="0" w:space="0" w:color="auto"/>
                    <w:left w:val="none" w:sz="0" w:space="0" w:color="auto"/>
                    <w:bottom w:val="none" w:sz="0" w:space="0" w:color="auto"/>
                    <w:right w:val="none" w:sz="0" w:space="0" w:color="auto"/>
                  </w:divBdr>
                  <w:divsChild>
                    <w:div w:id="1251311157">
                      <w:marLeft w:val="0"/>
                      <w:marRight w:val="0"/>
                      <w:marTop w:val="0"/>
                      <w:marBottom w:val="0"/>
                      <w:divBdr>
                        <w:top w:val="none" w:sz="0" w:space="0" w:color="auto"/>
                        <w:left w:val="none" w:sz="0" w:space="0" w:color="auto"/>
                        <w:bottom w:val="none" w:sz="0" w:space="0" w:color="auto"/>
                        <w:right w:val="none" w:sz="0" w:space="0" w:color="auto"/>
                      </w:divBdr>
                    </w:div>
                  </w:divsChild>
                </w:div>
                <w:div w:id="1723169478">
                  <w:marLeft w:val="0"/>
                  <w:marRight w:val="0"/>
                  <w:marTop w:val="0"/>
                  <w:marBottom w:val="0"/>
                  <w:divBdr>
                    <w:top w:val="none" w:sz="0" w:space="0" w:color="auto"/>
                    <w:left w:val="none" w:sz="0" w:space="0" w:color="auto"/>
                    <w:bottom w:val="none" w:sz="0" w:space="0" w:color="auto"/>
                    <w:right w:val="none" w:sz="0" w:space="0" w:color="auto"/>
                  </w:divBdr>
                  <w:divsChild>
                    <w:div w:id="1493061980">
                      <w:marLeft w:val="0"/>
                      <w:marRight w:val="0"/>
                      <w:marTop w:val="0"/>
                      <w:marBottom w:val="0"/>
                      <w:divBdr>
                        <w:top w:val="none" w:sz="0" w:space="0" w:color="auto"/>
                        <w:left w:val="none" w:sz="0" w:space="0" w:color="auto"/>
                        <w:bottom w:val="none" w:sz="0" w:space="0" w:color="auto"/>
                        <w:right w:val="none" w:sz="0" w:space="0" w:color="auto"/>
                      </w:divBdr>
                    </w:div>
                  </w:divsChild>
                </w:div>
                <w:div w:id="2120489864">
                  <w:marLeft w:val="0"/>
                  <w:marRight w:val="0"/>
                  <w:marTop w:val="0"/>
                  <w:marBottom w:val="0"/>
                  <w:divBdr>
                    <w:top w:val="none" w:sz="0" w:space="0" w:color="auto"/>
                    <w:left w:val="none" w:sz="0" w:space="0" w:color="auto"/>
                    <w:bottom w:val="none" w:sz="0" w:space="0" w:color="auto"/>
                    <w:right w:val="none" w:sz="0" w:space="0" w:color="auto"/>
                  </w:divBdr>
                  <w:divsChild>
                    <w:div w:id="405691608">
                      <w:marLeft w:val="0"/>
                      <w:marRight w:val="0"/>
                      <w:marTop w:val="0"/>
                      <w:marBottom w:val="0"/>
                      <w:divBdr>
                        <w:top w:val="none" w:sz="0" w:space="0" w:color="auto"/>
                        <w:left w:val="none" w:sz="0" w:space="0" w:color="auto"/>
                        <w:bottom w:val="none" w:sz="0" w:space="0" w:color="auto"/>
                        <w:right w:val="none" w:sz="0" w:space="0" w:color="auto"/>
                      </w:divBdr>
                    </w:div>
                  </w:divsChild>
                </w:div>
                <w:div w:id="397290147">
                  <w:marLeft w:val="0"/>
                  <w:marRight w:val="0"/>
                  <w:marTop w:val="0"/>
                  <w:marBottom w:val="0"/>
                  <w:divBdr>
                    <w:top w:val="none" w:sz="0" w:space="0" w:color="auto"/>
                    <w:left w:val="none" w:sz="0" w:space="0" w:color="auto"/>
                    <w:bottom w:val="none" w:sz="0" w:space="0" w:color="auto"/>
                    <w:right w:val="none" w:sz="0" w:space="0" w:color="auto"/>
                  </w:divBdr>
                  <w:divsChild>
                    <w:div w:id="1284845972">
                      <w:marLeft w:val="0"/>
                      <w:marRight w:val="0"/>
                      <w:marTop w:val="0"/>
                      <w:marBottom w:val="0"/>
                      <w:divBdr>
                        <w:top w:val="none" w:sz="0" w:space="0" w:color="auto"/>
                        <w:left w:val="none" w:sz="0" w:space="0" w:color="auto"/>
                        <w:bottom w:val="none" w:sz="0" w:space="0" w:color="auto"/>
                        <w:right w:val="none" w:sz="0" w:space="0" w:color="auto"/>
                      </w:divBdr>
                    </w:div>
                  </w:divsChild>
                </w:div>
                <w:div w:id="721289804">
                  <w:marLeft w:val="0"/>
                  <w:marRight w:val="0"/>
                  <w:marTop w:val="0"/>
                  <w:marBottom w:val="0"/>
                  <w:divBdr>
                    <w:top w:val="none" w:sz="0" w:space="0" w:color="auto"/>
                    <w:left w:val="none" w:sz="0" w:space="0" w:color="auto"/>
                    <w:bottom w:val="none" w:sz="0" w:space="0" w:color="auto"/>
                    <w:right w:val="none" w:sz="0" w:space="0" w:color="auto"/>
                  </w:divBdr>
                  <w:divsChild>
                    <w:div w:id="1124689051">
                      <w:marLeft w:val="0"/>
                      <w:marRight w:val="0"/>
                      <w:marTop w:val="0"/>
                      <w:marBottom w:val="0"/>
                      <w:divBdr>
                        <w:top w:val="none" w:sz="0" w:space="0" w:color="auto"/>
                        <w:left w:val="none" w:sz="0" w:space="0" w:color="auto"/>
                        <w:bottom w:val="none" w:sz="0" w:space="0" w:color="auto"/>
                        <w:right w:val="none" w:sz="0" w:space="0" w:color="auto"/>
                      </w:divBdr>
                    </w:div>
                  </w:divsChild>
                </w:div>
                <w:div w:id="887491993">
                  <w:marLeft w:val="0"/>
                  <w:marRight w:val="0"/>
                  <w:marTop w:val="0"/>
                  <w:marBottom w:val="0"/>
                  <w:divBdr>
                    <w:top w:val="none" w:sz="0" w:space="0" w:color="auto"/>
                    <w:left w:val="none" w:sz="0" w:space="0" w:color="auto"/>
                    <w:bottom w:val="none" w:sz="0" w:space="0" w:color="auto"/>
                    <w:right w:val="none" w:sz="0" w:space="0" w:color="auto"/>
                  </w:divBdr>
                  <w:divsChild>
                    <w:div w:id="759637623">
                      <w:marLeft w:val="0"/>
                      <w:marRight w:val="0"/>
                      <w:marTop w:val="0"/>
                      <w:marBottom w:val="0"/>
                      <w:divBdr>
                        <w:top w:val="none" w:sz="0" w:space="0" w:color="auto"/>
                        <w:left w:val="none" w:sz="0" w:space="0" w:color="auto"/>
                        <w:bottom w:val="none" w:sz="0" w:space="0" w:color="auto"/>
                        <w:right w:val="none" w:sz="0" w:space="0" w:color="auto"/>
                      </w:divBdr>
                    </w:div>
                  </w:divsChild>
                </w:div>
                <w:div w:id="1274049905">
                  <w:marLeft w:val="0"/>
                  <w:marRight w:val="0"/>
                  <w:marTop w:val="0"/>
                  <w:marBottom w:val="0"/>
                  <w:divBdr>
                    <w:top w:val="none" w:sz="0" w:space="0" w:color="auto"/>
                    <w:left w:val="none" w:sz="0" w:space="0" w:color="auto"/>
                    <w:bottom w:val="none" w:sz="0" w:space="0" w:color="auto"/>
                    <w:right w:val="none" w:sz="0" w:space="0" w:color="auto"/>
                  </w:divBdr>
                  <w:divsChild>
                    <w:div w:id="1129515921">
                      <w:marLeft w:val="0"/>
                      <w:marRight w:val="0"/>
                      <w:marTop w:val="0"/>
                      <w:marBottom w:val="0"/>
                      <w:divBdr>
                        <w:top w:val="none" w:sz="0" w:space="0" w:color="auto"/>
                        <w:left w:val="none" w:sz="0" w:space="0" w:color="auto"/>
                        <w:bottom w:val="none" w:sz="0" w:space="0" w:color="auto"/>
                        <w:right w:val="none" w:sz="0" w:space="0" w:color="auto"/>
                      </w:divBdr>
                    </w:div>
                  </w:divsChild>
                </w:div>
                <w:div w:id="604193558">
                  <w:marLeft w:val="0"/>
                  <w:marRight w:val="0"/>
                  <w:marTop w:val="0"/>
                  <w:marBottom w:val="0"/>
                  <w:divBdr>
                    <w:top w:val="none" w:sz="0" w:space="0" w:color="auto"/>
                    <w:left w:val="none" w:sz="0" w:space="0" w:color="auto"/>
                    <w:bottom w:val="none" w:sz="0" w:space="0" w:color="auto"/>
                    <w:right w:val="none" w:sz="0" w:space="0" w:color="auto"/>
                  </w:divBdr>
                  <w:divsChild>
                    <w:div w:id="571424823">
                      <w:marLeft w:val="0"/>
                      <w:marRight w:val="0"/>
                      <w:marTop w:val="0"/>
                      <w:marBottom w:val="0"/>
                      <w:divBdr>
                        <w:top w:val="none" w:sz="0" w:space="0" w:color="auto"/>
                        <w:left w:val="none" w:sz="0" w:space="0" w:color="auto"/>
                        <w:bottom w:val="none" w:sz="0" w:space="0" w:color="auto"/>
                        <w:right w:val="none" w:sz="0" w:space="0" w:color="auto"/>
                      </w:divBdr>
                    </w:div>
                  </w:divsChild>
                </w:div>
                <w:div w:id="561984568">
                  <w:marLeft w:val="0"/>
                  <w:marRight w:val="0"/>
                  <w:marTop w:val="0"/>
                  <w:marBottom w:val="0"/>
                  <w:divBdr>
                    <w:top w:val="none" w:sz="0" w:space="0" w:color="auto"/>
                    <w:left w:val="none" w:sz="0" w:space="0" w:color="auto"/>
                    <w:bottom w:val="none" w:sz="0" w:space="0" w:color="auto"/>
                    <w:right w:val="none" w:sz="0" w:space="0" w:color="auto"/>
                  </w:divBdr>
                  <w:divsChild>
                    <w:div w:id="1029767426">
                      <w:marLeft w:val="0"/>
                      <w:marRight w:val="0"/>
                      <w:marTop w:val="0"/>
                      <w:marBottom w:val="0"/>
                      <w:divBdr>
                        <w:top w:val="none" w:sz="0" w:space="0" w:color="auto"/>
                        <w:left w:val="none" w:sz="0" w:space="0" w:color="auto"/>
                        <w:bottom w:val="none" w:sz="0" w:space="0" w:color="auto"/>
                        <w:right w:val="none" w:sz="0" w:space="0" w:color="auto"/>
                      </w:divBdr>
                    </w:div>
                  </w:divsChild>
                </w:div>
                <w:div w:id="699400685">
                  <w:marLeft w:val="0"/>
                  <w:marRight w:val="0"/>
                  <w:marTop w:val="0"/>
                  <w:marBottom w:val="0"/>
                  <w:divBdr>
                    <w:top w:val="none" w:sz="0" w:space="0" w:color="auto"/>
                    <w:left w:val="none" w:sz="0" w:space="0" w:color="auto"/>
                    <w:bottom w:val="none" w:sz="0" w:space="0" w:color="auto"/>
                    <w:right w:val="none" w:sz="0" w:space="0" w:color="auto"/>
                  </w:divBdr>
                  <w:divsChild>
                    <w:div w:id="1684472636">
                      <w:marLeft w:val="0"/>
                      <w:marRight w:val="0"/>
                      <w:marTop w:val="0"/>
                      <w:marBottom w:val="0"/>
                      <w:divBdr>
                        <w:top w:val="none" w:sz="0" w:space="0" w:color="auto"/>
                        <w:left w:val="none" w:sz="0" w:space="0" w:color="auto"/>
                        <w:bottom w:val="none" w:sz="0" w:space="0" w:color="auto"/>
                        <w:right w:val="none" w:sz="0" w:space="0" w:color="auto"/>
                      </w:divBdr>
                    </w:div>
                  </w:divsChild>
                </w:div>
                <w:div w:id="1152647567">
                  <w:marLeft w:val="0"/>
                  <w:marRight w:val="0"/>
                  <w:marTop w:val="0"/>
                  <w:marBottom w:val="0"/>
                  <w:divBdr>
                    <w:top w:val="none" w:sz="0" w:space="0" w:color="auto"/>
                    <w:left w:val="none" w:sz="0" w:space="0" w:color="auto"/>
                    <w:bottom w:val="none" w:sz="0" w:space="0" w:color="auto"/>
                    <w:right w:val="none" w:sz="0" w:space="0" w:color="auto"/>
                  </w:divBdr>
                  <w:divsChild>
                    <w:div w:id="1989897492">
                      <w:marLeft w:val="0"/>
                      <w:marRight w:val="0"/>
                      <w:marTop w:val="0"/>
                      <w:marBottom w:val="0"/>
                      <w:divBdr>
                        <w:top w:val="none" w:sz="0" w:space="0" w:color="auto"/>
                        <w:left w:val="none" w:sz="0" w:space="0" w:color="auto"/>
                        <w:bottom w:val="none" w:sz="0" w:space="0" w:color="auto"/>
                        <w:right w:val="none" w:sz="0" w:space="0" w:color="auto"/>
                      </w:divBdr>
                    </w:div>
                  </w:divsChild>
                </w:div>
                <w:div w:id="1959526692">
                  <w:marLeft w:val="0"/>
                  <w:marRight w:val="0"/>
                  <w:marTop w:val="0"/>
                  <w:marBottom w:val="0"/>
                  <w:divBdr>
                    <w:top w:val="none" w:sz="0" w:space="0" w:color="auto"/>
                    <w:left w:val="none" w:sz="0" w:space="0" w:color="auto"/>
                    <w:bottom w:val="none" w:sz="0" w:space="0" w:color="auto"/>
                    <w:right w:val="none" w:sz="0" w:space="0" w:color="auto"/>
                  </w:divBdr>
                  <w:divsChild>
                    <w:div w:id="1156721113">
                      <w:marLeft w:val="0"/>
                      <w:marRight w:val="0"/>
                      <w:marTop w:val="0"/>
                      <w:marBottom w:val="0"/>
                      <w:divBdr>
                        <w:top w:val="none" w:sz="0" w:space="0" w:color="auto"/>
                        <w:left w:val="none" w:sz="0" w:space="0" w:color="auto"/>
                        <w:bottom w:val="none" w:sz="0" w:space="0" w:color="auto"/>
                        <w:right w:val="none" w:sz="0" w:space="0" w:color="auto"/>
                      </w:divBdr>
                    </w:div>
                  </w:divsChild>
                </w:div>
                <w:div w:id="718479719">
                  <w:marLeft w:val="0"/>
                  <w:marRight w:val="0"/>
                  <w:marTop w:val="0"/>
                  <w:marBottom w:val="0"/>
                  <w:divBdr>
                    <w:top w:val="none" w:sz="0" w:space="0" w:color="auto"/>
                    <w:left w:val="none" w:sz="0" w:space="0" w:color="auto"/>
                    <w:bottom w:val="none" w:sz="0" w:space="0" w:color="auto"/>
                    <w:right w:val="none" w:sz="0" w:space="0" w:color="auto"/>
                  </w:divBdr>
                  <w:divsChild>
                    <w:div w:id="1145974164">
                      <w:marLeft w:val="0"/>
                      <w:marRight w:val="0"/>
                      <w:marTop w:val="0"/>
                      <w:marBottom w:val="0"/>
                      <w:divBdr>
                        <w:top w:val="none" w:sz="0" w:space="0" w:color="auto"/>
                        <w:left w:val="none" w:sz="0" w:space="0" w:color="auto"/>
                        <w:bottom w:val="none" w:sz="0" w:space="0" w:color="auto"/>
                        <w:right w:val="none" w:sz="0" w:space="0" w:color="auto"/>
                      </w:divBdr>
                    </w:div>
                  </w:divsChild>
                </w:div>
                <w:div w:id="1944606856">
                  <w:marLeft w:val="0"/>
                  <w:marRight w:val="0"/>
                  <w:marTop w:val="0"/>
                  <w:marBottom w:val="0"/>
                  <w:divBdr>
                    <w:top w:val="none" w:sz="0" w:space="0" w:color="auto"/>
                    <w:left w:val="none" w:sz="0" w:space="0" w:color="auto"/>
                    <w:bottom w:val="none" w:sz="0" w:space="0" w:color="auto"/>
                    <w:right w:val="none" w:sz="0" w:space="0" w:color="auto"/>
                  </w:divBdr>
                  <w:divsChild>
                    <w:div w:id="1884370030">
                      <w:marLeft w:val="0"/>
                      <w:marRight w:val="0"/>
                      <w:marTop w:val="0"/>
                      <w:marBottom w:val="0"/>
                      <w:divBdr>
                        <w:top w:val="none" w:sz="0" w:space="0" w:color="auto"/>
                        <w:left w:val="none" w:sz="0" w:space="0" w:color="auto"/>
                        <w:bottom w:val="none" w:sz="0" w:space="0" w:color="auto"/>
                        <w:right w:val="none" w:sz="0" w:space="0" w:color="auto"/>
                      </w:divBdr>
                    </w:div>
                  </w:divsChild>
                </w:div>
                <w:div w:id="1746342270">
                  <w:marLeft w:val="0"/>
                  <w:marRight w:val="0"/>
                  <w:marTop w:val="0"/>
                  <w:marBottom w:val="0"/>
                  <w:divBdr>
                    <w:top w:val="none" w:sz="0" w:space="0" w:color="auto"/>
                    <w:left w:val="none" w:sz="0" w:space="0" w:color="auto"/>
                    <w:bottom w:val="none" w:sz="0" w:space="0" w:color="auto"/>
                    <w:right w:val="none" w:sz="0" w:space="0" w:color="auto"/>
                  </w:divBdr>
                  <w:divsChild>
                    <w:div w:id="1915047160">
                      <w:marLeft w:val="0"/>
                      <w:marRight w:val="0"/>
                      <w:marTop w:val="0"/>
                      <w:marBottom w:val="0"/>
                      <w:divBdr>
                        <w:top w:val="none" w:sz="0" w:space="0" w:color="auto"/>
                        <w:left w:val="none" w:sz="0" w:space="0" w:color="auto"/>
                        <w:bottom w:val="none" w:sz="0" w:space="0" w:color="auto"/>
                        <w:right w:val="none" w:sz="0" w:space="0" w:color="auto"/>
                      </w:divBdr>
                    </w:div>
                  </w:divsChild>
                </w:div>
                <w:div w:id="1205406928">
                  <w:marLeft w:val="0"/>
                  <w:marRight w:val="0"/>
                  <w:marTop w:val="0"/>
                  <w:marBottom w:val="0"/>
                  <w:divBdr>
                    <w:top w:val="none" w:sz="0" w:space="0" w:color="auto"/>
                    <w:left w:val="none" w:sz="0" w:space="0" w:color="auto"/>
                    <w:bottom w:val="none" w:sz="0" w:space="0" w:color="auto"/>
                    <w:right w:val="none" w:sz="0" w:space="0" w:color="auto"/>
                  </w:divBdr>
                  <w:divsChild>
                    <w:div w:id="759524014">
                      <w:marLeft w:val="0"/>
                      <w:marRight w:val="0"/>
                      <w:marTop w:val="0"/>
                      <w:marBottom w:val="0"/>
                      <w:divBdr>
                        <w:top w:val="none" w:sz="0" w:space="0" w:color="auto"/>
                        <w:left w:val="none" w:sz="0" w:space="0" w:color="auto"/>
                        <w:bottom w:val="none" w:sz="0" w:space="0" w:color="auto"/>
                        <w:right w:val="none" w:sz="0" w:space="0" w:color="auto"/>
                      </w:divBdr>
                    </w:div>
                  </w:divsChild>
                </w:div>
                <w:div w:id="585844064">
                  <w:marLeft w:val="0"/>
                  <w:marRight w:val="0"/>
                  <w:marTop w:val="0"/>
                  <w:marBottom w:val="0"/>
                  <w:divBdr>
                    <w:top w:val="none" w:sz="0" w:space="0" w:color="auto"/>
                    <w:left w:val="none" w:sz="0" w:space="0" w:color="auto"/>
                    <w:bottom w:val="none" w:sz="0" w:space="0" w:color="auto"/>
                    <w:right w:val="none" w:sz="0" w:space="0" w:color="auto"/>
                  </w:divBdr>
                  <w:divsChild>
                    <w:div w:id="597832608">
                      <w:marLeft w:val="0"/>
                      <w:marRight w:val="0"/>
                      <w:marTop w:val="0"/>
                      <w:marBottom w:val="0"/>
                      <w:divBdr>
                        <w:top w:val="none" w:sz="0" w:space="0" w:color="auto"/>
                        <w:left w:val="none" w:sz="0" w:space="0" w:color="auto"/>
                        <w:bottom w:val="none" w:sz="0" w:space="0" w:color="auto"/>
                        <w:right w:val="none" w:sz="0" w:space="0" w:color="auto"/>
                      </w:divBdr>
                    </w:div>
                  </w:divsChild>
                </w:div>
                <w:div w:id="742340694">
                  <w:marLeft w:val="0"/>
                  <w:marRight w:val="0"/>
                  <w:marTop w:val="0"/>
                  <w:marBottom w:val="0"/>
                  <w:divBdr>
                    <w:top w:val="none" w:sz="0" w:space="0" w:color="auto"/>
                    <w:left w:val="none" w:sz="0" w:space="0" w:color="auto"/>
                    <w:bottom w:val="none" w:sz="0" w:space="0" w:color="auto"/>
                    <w:right w:val="none" w:sz="0" w:space="0" w:color="auto"/>
                  </w:divBdr>
                  <w:divsChild>
                    <w:div w:id="522134518">
                      <w:marLeft w:val="0"/>
                      <w:marRight w:val="0"/>
                      <w:marTop w:val="0"/>
                      <w:marBottom w:val="0"/>
                      <w:divBdr>
                        <w:top w:val="none" w:sz="0" w:space="0" w:color="auto"/>
                        <w:left w:val="none" w:sz="0" w:space="0" w:color="auto"/>
                        <w:bottom w:val="none" w:sz="0" w:space="0" w:color="auto"/>
                        <w:right w:val="none" w:sz="0" w:space="0" w:color="auto"/>
                      </w:divBdr>
                    </w:div>
                  </w:divsChild>
                </w:div>
                <w:div w:id="2095273548">
                  <w:marLeft w:val="0"/>
                  <w:marRight w:val="0"/>
                  <w:marTop w:val="0"/>
                  <w:marBottom w:val="0"/>
                  <w:divBdr>
                    <w:top w:val="none" w:sz="0" w:space="0" w:color="auto"/>
                    <w:left w:val="none" w:sz="0" w:space="0" w:color="auto"/>
                    <w:bottom w:val="none" w:sz="0" w:space="0" w:color="auto"/>
                    <w:right w:val="none" w:sz="0" w:space="0" w:color="auto"/>
                  </w:divBdr>
                  <w:divsChild>
                    <w:div w:id="1089690870">
                      <w:marLeft w:val="0"/>
                      <w:marRight w:val="0"/>
                      <w:marTop w:val="0"/>
                      <w:marBottom w:val="0"/>
                      <w:divBdr>
                        <w:top w:val="none" w:sz="0" w:space="0" w:color="auto"/>
                        <w:left w:val="none" w:sz="0" w:space="0" w:color="auto"/>
                        <w:bottom w:val="none" w:sz="0" w:space="0" w:color="auto"/>
                        <w:right w:val="none" w:sz="0" w:space="0" w:color="auto"/>
                      </w:divBdr>
                    </w:div>
                  </w:divsChild>
                </w:div>
                <w:div w:id="1874225763">
                  <w:marLeft w:val="0"/>
                  <w:marRight w:val="0"/>
                  <w:marTop w:val="0"/>
                  <w:marBottom w:val="0"/>
                  <w:divBdr>
                    <w:top w:val="none" w:sz="0" w:space="0" w:color="auto"/>
                    <w:left w:val="none" w:sz="0" w:space="0" w:color="auto"/>
                    <w:bottom w:val="none" w:sz="0" w:space="0" w:color="auto"/>
                    <w:right w:val="none" w:sz="0" w:space="0" w:color="auto"/>
                  </w:divBdr>
                  <w:divsChild>
                    <w:div w:id="1052076266">
                      <w:marLeft w:val="0"/>
                      <w:marRight w:val="0"/>
                      <w:marTop w:val="0"/>
                      <w:marBottom w:val="0"/>
                      <w:divBdr>
                        <w:top w:val="none" w:sz="0" w:space="0" w:color="auto"/>
                        <w:left w:val="none" w:sz="0" w:space="0" w:color="auto"/>
                        <w:bottom w:val="none" w:sz="0" w:space="0" w:color="auto"/>
                        <w:right w:val="none" w:sz="0" w:space="0" w:color="auto"/>
                      </w:divBdr>
                    </w:div>
                  </w:divsChild>
                </w:div>
                <w:div w:id="1965309853">
                  <w:marLeft w:val="0"/>
                  <w:marRight w:val="0"/>
                  <w:marTop w:val="0"/>
                  <w:marBottom w:val="0"/>
                  <w:divBdr>
                    <w:top w:val="none" w:sz="0" w:space="0" w:color="auto"/>
                    <w:left w:val="none" w:sz="0" w:space="0" w:color="auto"/>
                    <w:bottom w:val="none" w:sz="0" w:space="0" w:color="auto"/>
                    <w:right w:val="none" w:sz="0" w:space="0" w:color="auto"/>
                  </w:divBdr>
                  <w:divsChild>
                    <w:div w:id="75790584">
                      <w:marLeft w:val="0"/>
                      <w:marRight w:val="0"/>
                      <w:marTop w:val="0"/>
                      <w:marBottom w:val="0"/>
                      <w:divBdr>
                        <w:top w:val="none" w:sz="0" w:space="0" w:color="auto"/>
                        <w:left w:val="none" w:sz="0" w:space="0" w:color="auto"/>
                        <w:bottom w:val="none" w:sz="0" w:space="0" w:color="auto"/>
                        <w:right w:val="none" w:sz="0" w:space="0" w:color="auto"/>
                      </w:divBdr>
                    </w:div>
                  </w:divsChild>
                </w:div>
                <w:div w:id="2047296323">
                  <w:marLeft w:val="0"/>
                  <w:marRight w:val="0"/>
                  <w:marTop w:val="0"/>
                  <w:marBottom w:val="0"/>
                  <w:divBdr>
                    <w:top w:val="none" w:sz="0" w:space="0" w:color="auto"/>
                    <w:left w:val="none" w:sz="0" w:space="0" w:color="auto"/>
                    <w:bottom w:val="none" w:sz="0" w:space="0" w:color="auto"/>
                    <w:right w:val="none" w:sz="0" w:space="0" w:color="auto"/>
                  </w:divBdr>
                  <w:divsChild>
                    <w:div w:id="2080053056">
                      <w:marLeft w:val="0"/>
                      <w:marRight w:val="0"/>
                      <w:marTop w:val="0"/>
                      <w:marBottom w:val="0"/>
                      <w:divBdr>
                        <w:top w:val="none" w:sz="0" w:space="0" w:color="auto"/>
                        <w:left w:val="none" w:sz="0" w:space="0" w:color="auto"/>
                        <w:bottom w:val="none" w:sz="0" w:space="0" w:color="auto"/>
                        <w:right w:val="none" w:sz="0" w:space="0" w:color="auto"/>
                      </w:divBdr>
                    </w:div>
                  </w:divsChild>
                </w:div>
                <w:div w:id="1762525912">
                  <w:marLeft w:val="0"/>
                  <w:marRight w:val="0"/>
                  <w:marTop w:val="0"/>
                  <w:marBottom w:val="0"/>
                  <w:divBdr>
                    <w:top w:val="none" w:sz="0" w:space="0" w:color="auto"/>
                    <w:left w:val="none" w:sz="0" w:space="0" w:color="auto"/>
                    <w:bottom w:val="none" w:sz="0" w:space="0" w:color="auto"/>
                    <w:right w:val="none" w:sz="0" w:space="0" w:color="auto"/>
                  </w:divBdr>
                  <w:divsChild>
                    <w:div w:id="1996374116">
                      <w:marLeft w:val="0"/>
                      <w:marRight w:val="0"/>
                      <w:marTop w:val="0"/>
                      <w:marBottom w:val="0"/>
                      <w:divBdr>
                        <w:top w:val="none" w:sz="0" w:space="0" w:color="auto"/>
                        <w:left w:val="none" w:sz="0" w:space="0" w:color="auto"/>
                        <w:bottom w:val="none" w:sz="0" w:space="0" w:color="auto"/>
                        <w:right w:val="none" w:sz="0" w:space="0" w:color="auto"/>
                      </w:divBdr>
                    </w:div>
                  </w:divsChild>
                </w:div>
                <w:div w:id="1961524548">
                  <w:marLeft w:val="0"/>
                  <w:marRight w:val="0"/>
                  <w:marTop w:val="0"/>
                  <w:marBottom w:val="0"/>
                  <w:divBdr>
                    <w:top w:val="none" w:sz="0" w:space="0" w:color="auto"/>
                    <w:left w:val="none" w:sz="0" w:space="0" w:color="auto"/>
                    <w:bottom w:val="none" w:sz="0" w:space="0" w:color="auto"/>
                    <w:right w:val="none" w:sz="0" w:space="0" w:color="auto"/>
                  </w:divBdr>
                  <w:divsChild>
                    <w:div w:id="290094749">
                      <w:marLeft w:val="0"/>
                      <w:marRight w:val="0"/>
                      <w:marTop w:val="0"/>
                      <w:marBottom w:val="0"/>
                      <w:divBdr>
                        <w:top w:val="none" w:sz="0" w:space="0" w:color="auto"/>
                        <w:left w:val="none" w:sz="0" w:space="0" w:color="auto"/>
                        <w:bottom w:val="none" w:sz="0" w:space="0" w:color="auto"/>
                        <w:right w:val="none" w:sz="0" w:space="0" w:color="auto"/>
                      </w:divBdr>
                    </w:div>
                  </w:divsChild>
                </w:div>
                <w:div w:id="1882015944">
                  <w:marLeft w:val="0"/>
                  <w:marRight w:val="0"/>
                  <w:marTop w:val="0"/>
                  <w:marBottom w:val="0"/>
                  <w:divBdr>
                    <w:top w:val="none" w:sz="0" w:space="0" w:color="auto"/>
                    <w:left w:val="none" w:sz="0" w:space="0" w:color="auto"/>
                    <w:bottom w:val="none" w:sz="0" w:space="0" w:color="auto"/>
                    <w:right w:val="none" w:sz="0" w:space="0" w:color="auto"/>
                  </w:divBdr>
                  <w:divsChild>
                    <w:div w:id="908154245">
                      <w:marLeft w:val="0"/>
                      <w:marRight w:val="0"/>
                      <w:marTop w:val="0"/>
                      <w:marBottom w:val="0"/>
                      <w:divBdr>
                        <w:top w:val="none" w:sz="0" w:space="0" w:color="auto"/>
                        <w:left w:val="none" w:sz="0" w:space="0" w:color="auto"/>
                        <w:bottom w:val="none" w:sz="0" w:space="0" w:color="auto"/>
                        <w:right w:val="none" w:sz="0" w:space="0" w:color="auto"/>
                      </w:divBdr>
                    </w:div>
                  </w:divsChild>
                </w:div>
                <w:div w:id="1773158755">
                  <w:marLeft w:val="0"/>
                  <w:marRight w:val="0"/>
                  <w:marTop w:val="0"/>
                  <w:marBottom w:val="0"/>
                  <w:divBdr>
                    <w:top w:val="none" w:sz="0" w:space="0" w:color="auto"/>
                    <w:left w:val="none" w:sz="0" w:space="0" w:color="auto"/>
                    <w:bottom w:val="none" w:sz="0" w:space="0" w:color="auto"/>
                    <w:right w:val="none" w:sz="0" w:space="0" w:color="auto"/>
                  </w:divBdr>
                  <w:divsChild>
                    <w:div w:id="1214777954">
                      <w:marLeft w:val="0"/>
                      <w:marRight w:val="0"/>
                      <w:marTop w:val="0"/>
                      <w:marBottom w:val="0"/>
                      <w:divBdr>
                        <w:top w:val="none" w:sz="0" w:space="0" w:color="auto"/>
                        <w:left w:val="none" w:sz="0" w:space="0" w:color="auto"/>
                        <w:bottom w:val="none" w:sz="0" w:space="0" w:color="auto"/>
                        <w:right w:val="none" w:sz="0" w:space="0" w:color="auto"/>
                      </w:divBdr>
                    </w:div>
                  </w:divsChild>
                </w:div>
                <w:div w:id="26218265">
                  <w:marLeft w:val="0"/>
                  <w:marRight w:val="0"/>
                  <w:marTop w:val="0"/>
                  <w:marBottom w:val="0"/>
                  <w:divBdr>
                    <w:top w:val="none" w:sz="0" w:space="0" w:color="auto"/>
                    <w:left w:val="none" w:sz="0" w:space="0" w:color="auto"/>
                    <w:bottom w:val="none" w:sz="0" w:space="0" w:color="auto"/>
                    <w:right w:val="none" w:sz="0" w:space="0" w:color="auto"/>
                  </w:divBdr>
                  <w:divsChild>
                    <w:div w:id="3939483">
                      <w:marLeft w:val="0"/>
                      <w:marRight w:val="0"/>
                      <w:marTop w:val="0"/>
                      <w:marBottom w:val="0"/>
                      <w:divBdr>
                        <w:top w:val="none" w:sz="0" w:space="0" w:color="auto"/>
                        <w:left w:val="none" w:sz="0" w:space="0" w:color="auto"/>
                        <w:bottom w:val="none" w:sz="0" w:space="0" w:color="auto"/>
                        <w:right w:val="none" w:sz="0" w:space="0" w:color="auto"/>
                      </w:divBdr>
                    </w:div>
                  </w:divsChild>
                </w:div>
                <w:div w:id="2057123871">
                  <w:marLeft w:val="0"/>
                  <w:marRight w:val="0"/>
                  <w:marTop w:val="0"/>
                  <w:marBottom w:val="0"/>
                  <w:divBdr>
                    <w:top w:val="none" w:sz="0" w:space="0" w:color="auto"/>
                    <w:left w:val="none" w:sz="0" w:space="0" w:color="auto"/>
                    <w:bottom w:val="none" w:sz="0" w:space="0" w:color="auto"/>
                    <w:right w:val="none" w:sz="0" w:space="0" w:color="auto"/>
                  </w:divBdr>
                  <w:divsChild>
                    <w:div w:id="1161627078">
                      <w:marLeft w:val="0"/>
                      <w:marRight w:val="0"/>
                      <w:marTop w:val="0"/>
                      <w:marBottom w:val="0"/>
                      <w:divBdr>
                        <w:top w:val="none" w:sz="0" w:space="0" w:color="auto"/>
                        <w:left w:val="none" w:sz="0" w:space="0" w:color="auto"/>
                        <w:bottom w:val="none" w:sz="0" w:space="0" w:color="auto"/>
                        <w:right w:val="none" w:sz="0" w:space="0" w:color="auto"/>
                      </w:divBdr>
                    </w:div>
                  </w:divsChild>
                </w:div>
                <w:div w:id="356393342">
                  <w:marLeft w:val="0"/>
                  <w:marRight w:val="0"/>
                  <w:marTop w:val="0"/>
                  <w:marBottom w:val="0"/>
                  <w:divBdr>
                    <w:top w:val="none" w:sz="0" w:space="0" w:color="auto"/>
                    <w:left w:val="none" w:sz="0" w:space="0" w:color="auto"/>
                    <w:bottom w:val="none" w:sz="0" w:space="0" w:color="auto"/>
                    <w:right w:val="none" w:sz="0" w:space="0" w:color="auto"/>
                  </w:divBdr>
                  <w:divsChild>
                    <w:div w:id="221064549">
                      <w:marLeft w:val="0"/>
                      <w:marRight w:val="0"/>
                      <w:marTop w:val="0"/>
                      <w:marBottom w:val="0"/>
                      <w:divBdr>
                        <w:top w:val="none" w:sz="0" w:space="0" w:color="auto"/>
                        <w:left w:val="none" w:sz="0" w:space="0" w:color="auto"/>
                        <w:bottom w:val="none" w:sz="0" w:space="0" w:color="auto"/>
                        <w:right w:val="none" w:sz="0" w:space="0" w:color="auto"/>
                      </w:divBdr>
                    </w:div>
                  </w:divsChild>
                </w:div>
                <w:div w:id="1424259073">
                  <w:marLeft w:val="0"/>
                  <w:marRight w:val="0"/>
                  <w:marTop w:val="0"/>
                  <w:marBottom w:val="0"/>
                  <w:divBdr>
                    <w:top w:val="none" w:sz="0" w:space="0" w:color="auto"/>
                    <w:left w:val="none" w:sz="0" w:space="0" w:color="auto"/>
                    <w:bottom w:val="none" w:sz="0" w:space="0" w:color="auto"/>
                    <w:right w:val="none" w:sz="0" w:space="0" w:color="auto"/>
                  </w:divBdr>
                  <w:divsChild>
                    <w:div w:id="1840463535">
                      <w:marLeft w:val="0"/>
                      <w:marRight w:val="0"/>
                      <w:marTop w:val="0"/>
                      <w:marBottom w:val="0"/>
                      <w:divBdr>
                        <w:top w:val="none" w:sz="0" w:space="0" w:color="auto"/>
                        <w:left w:val="none" w:sz="0" w:space="0" w:color="auto"/>
                        <w:bottom w:val="none" w:sz="0" w:space="0" w:color="auto"/>
                        <w:right w:val="none" w:sz="0" w:space="0" w:color="auto"/>
                      </w:divBdr>
                    </w:div>
                  </w:divsChild>
                </w:div>
                <w:div w:id="1938127310">
                  <w:marLeft w:val="0"/>
                  <w:marRight w:val="0"/>
                  <w:marTop w:val="0"/>
                  <w:marBottom w:val="0"/>
                  <w:divBdr>
                    <w:top w:val="none" w:sz="0" w:space="0" w:color="auto"/>
                    <w:left w:val="none" w:sz="0" w:space="0" w:color="auto"/>
                    <w:bottom w:val="none" w:sz="0" w:space="0" w:color="auto"/>
                    <w:right w:val="none" w:sz="0" w:space="0" w:color="auto"/>
                  </w:divBdr>
                  <w:divsChild>
                    <w:div w:id="1692337902">
                      <w:marLeft w:val="0"/>
                      <w:marRight w:val="0"/>
                      <w:marTop w:val="0"/>
                      <w:marBottom w:val="0"/>
                      <w:divBdr>
                        <w:top w:val="none" w:sz="0" w:space="0" w:color="auto"/>
                        <w:left w:val="none" w:sz="0" w:space="0" w:color="auto"/>
                        <w:bottom w:val="none" w:sz="0" w:space="0" w:color="auto"/>
                        <w:right w:val="none" w:sz="0" w:space="0" w:color="auto"/>
                      </w:divBdr>
                    </w:div>
                  </w:divsChild>
                </w:div>
                <w:div w:id="2052537707">
                  <w:marLeft w:val="0"/>
                  <w:marRight w:val="0"/>
                  <w:marTop w:val="0"/>
                  <w:marBottom w:val="0"/>
                  <w:divBdr>
                    <w:top w:val="none" w:sz="0" w:space="0" w:color="auto"/>
                    <w:left w:val="none" w:sz="0" w:space="0" w:color="auto"/>
                    <w:bottom w:val="none" w:sz="0" w:space="0" w:color="auto"/>
                    <w:right w:val="none" w:sz="0" w:space="0" w:color="auto"/>
                  </w:divBdr>
                  <w:divsChild>
                    <w:div w:id="1970738704">
                      <w:marLeft w:val="0"/>
                      <w:marRight w:val="0"/>
                      <w:marTop w:val="0"/>
                      <w:marBottom w:val="0"/>
                      <w:divBdr>
                        <w:top w:val="none" w:sz="0" w:space="0" w:color="auto"/>
                        <w:left w:val="none" w:sz="0" w:space="0" w:color="auto"/>
                        <w:bottom w:val="none" w:sz="0" w:space="0" w:color="auto"/>
                        <w:right w:val="none" w:sz="0" w:space="0" w:color="auto"/>
                      </w:divBdr>
                    </w:div>
                  </w:divsChild>
                </w:div>
                <w:div w:id="1647666122">
                  <w:marLeft w:val="0"/>
                  <w:marRight w:val="0"/>
                  <w:marTop w:val="0"/>
                  <w:marBottom w:val="0"/>
                  <w:divBdr>
                    <w:top w:val="none" w:sz="0" w:space="0" w:color="auto"/>
                    <w:left w:val="none" w:sz="0" w:space="0" w:color="auto"/>
                    <w:bottom w:val="none" w:sz="0" w:space="0" w:color="auto"/>
                    <w:right w:val="none" w:sz="0" w:space="0" w:color="auto"/>
                  </w:divBdr>
                  <w:divsChild>
                    <w:div w:id="1053579346">
                      <w:marLeft w:val="0"/>
                      <w:marRight w:val="0"/>
                      <w:marTop w:val="0"/>
                      <w:marBottom w:val="0"/>
                      <w:divBdr>
                        <w:top w:val="none" w:sz="0" w:space="0" w:color="auto"/>
                        <w:left w:val="none" w:sz="0" w:space="0" w:color="auto"/>
                        <w:bottom w:val="none" w:sz="0" w:space="0" w:color="auto"/>
                        <w:right w:val="none" w:sz="0" w:space="0" w:color="auto"/>
                      </w:divBdr>
                    </w:div>
                  </w:divsChild>
                </w:div>
                <w:div w:id="281377610">
                  <w:marLeft w:val="0"/>
                  <w:marRight w:val="0"/>
                  <w:marTop w:val="0"/>
                  <w:marBottom w:val="0"/>
                  <w:divBdr>
                    <w:top w:val="none" w:sz="0" w:space="0" w:color="auto"/>
                    <w:left w:val="none" w:sz="0" w:space="0" w:color="auto"/>
                    <w:bottom w:val="none" w:sz="0" w:space="0" w:color="auto"/>
                    <w:right w:val="none" w:sz="0" w:space="0" w:color="auto"/>
                  </w:divBdr>
                  <w:divsChild>
                    <w:div w:id="1517698193">
                      <w:marLeft w:val="0"/>
                      <w:marRight w:val="0"/>
                      <w:marTop w:val="0"/>
                      <w:marBottom w:val="0"/>
                      <w:divBdr>
                        <w:top w:val="none" w:sz="0" w:space="0" w:color="auto"/>
                        <w:left w:val="none" w:sz="0" w:space="0" w:color="auto"/>
                        <w:bottom w:val="none" w:sz="0" w:space="0" w:color="auto"/>
                        <w:right w:val="none" w:sz="0" w:space="0" w:color="auto"/>
                      </w:divBdr>
                    </w:div>
                  </w:divsChild>
                </w:div>
                <w:div w:id="594679492">
                  <w:marLeft w:val="0"/>
                  <w:marRight w:val="0"/>
                  <w:marTop w:val="0"/>
                  <w:marBottom w:val="0"/>
                  <w:divBdr>
                    <w:top w:val="none" w:sz="0" w:space="0" w:color="auto"/>
                    <w:left w:val="none" w:sz="0" w:space="0" w:color="auto"/>
                    <w:bottom w:val="none" w:sz="0" w:space="0" w:color="auto"/>
                    <w:right w:val="none" w:sz="0" w:space="0" w:color="auto"/>
                  </w:divBdr>
                  <w:divsChild>
                    <w:div w:id="76248433">
                      <w:marLeft w:val="0"/>
                      <w:marRight w:val="0"/>
                      <w:marTop w:val="0"/>
                      <w:marBottom w:val="0"/>
                      <w:divBdr>
                        <w:top w:val="none" w:sz="0" w:space="0" w:color="auto"/>
                        <w:left w:val="none" w:sz="0" w:space="0" w:color="auto"/>
                        <w:bottom w:val="none" w:sz="0" w:space="0" w:color="auto"/>
                        <w:right w:val="none" w:sz="0" w:space="0" w:color="auto"/>
                      </w:divBdr>
                    </w:div>
                  </w:divsChild>
                </w:div>
                <w:div w:id="990446709">
                  <w:marLeft w:val="0"/>
                  <w:marRight w:val="0"/>
                  <w:marTop w:val="0"/>
                  <w:marBottom w:val="0"/>
                  <w:divBdr>
                    <w:top w:val="none" w:sz="0" w:space="0" w:color="auto"/>
                    <w:left w:val="none" w:sz="0" w:space="0" w:color="auto"/>
                    <w:bottom w:val="none" w:sz="0" w:space="0" w:color="auto"/>
                    <w:right w:val="none" w:sz="0" w:space="0" w:color="auto"/>
                  </w:divBdr>
                  <w:divsChild>
                    <w:div w:id="150755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180934">
          <w:marLeft w:val="0"/>
          <w:marRight w:val="0"/>
          <w:marTop w:val="0"/>
          <w:marBottom w:val="0"/>
          <w:divBdr>
            <w:top w:val="none" w:sz="0" w:space="0" w:color="auto"/>
            <w:left w:val="none" w:sz="0" w:space="0" w:color="auto"/>
            <w:bottom w:val="none" w:sz="0" w:space="0" w:color="auto"/>
            <w:right w:val="none" w:sz="0" w:space="0" w:color="auto"/>
          </w:divBdr>
        </w:div>
        <w:div w:id="1162425799">
          <w:marLeft w:val="0"/>
          <w:marRight w:val="0"/>
          <w:marTop w:val="0"/>
          <w:marBottom w:val="0"/>
          <w:divBdr>
            <w:top w:val="none" w:sz="0" w:space="0" w:color="auto"/>
            <w:left w:val="none" w:sz="0" w:space="0" w:color="auto"/>
            <w:bottom w:val="none" w:sz="0" w:space="0" w:color="auto"/>
            <w:right w:val="none" w:sz="0" w:space="0" w:color="auto"/>
          </w:divBdr>
        </w:div>
        <w:div w:id="1795976480">
          <w:marLeft w:val="0"/>
          <w:marRight w:val="0"/>
          <w:marTop w:val="0"/>
          <w:marBottom w:val="0"/>
          <w:divBdr>
            <w:top w:val="none" w:sz="0" w:space="0" w:color="auto"/>
            <w:left w:val="none" w:sz="0" w:space="0" w:color="auto"/>
            <w:bottom w:val="none" w:sz="0" w:space="0" w:color="auto"/>
            <w:right w:val="none" w:sz="0" w:space="0" w:color="auto"/>
          </w:divBdr>
          <w:divsChild>
            <w:div w:id="2128545418">
              <w:marLeft w:val="-75"/>
              <w:marRight w:val="0"/>
              <w:marTop w:val="30"/>
              <w:marBottom w:val="30"/>
              <w:divBdr>
                <w:top w:val="none" w:sz="0" w:space="0" w:color="auto"/>
                <w:left w:val="none" w:sz="0" w:space="0" w:color="auto"/>
                <w:bottom w:val="none" w:sz="0" w:space="0" w:color="auto"/>
                <w:right w:val="none" w:sz="0" w:space="0" w:color="auto"/>
              </w:divBdr>
              <w:divsChild>
                <w:div w:id="625503701">
                  <w:marLeft w:val="0"/>
                  <w:marRight w:val="0"/>
                  <w:marTop w:val="0"/>
                  <w:marBottom w:val="0"/>
                  <w:divBdr>
                    <w:top w:val="none" w:sz="0" w:space="0" w:color="auto"/>
                    <w:left w:val="none" w:sz="0" w:space="0" w:color="auto"/>
                    <w:bottom w:val="none" w:sz="0" w:space="0" w:color="auto"/>
                    <w:right w:val="none" w:sz="0" w:space="0" w:color="auto"/>
                  </w:divBdr>
                  <w:divsChild>
                    <w:div w:id="800735374">
                      <w:marLeft w:val="0"/>
                      <w:marRight w:val="0"/>
                      <w:marTop w:val="0"/>
                      <w:marBottom w:val="0"/>
                      <w:divBdr>
                        <w:top w:val="none" w:sz="0" w:space="0" w:color="auto"/>
                        <w:left w:val="none" w:sz="0" w:space="0" w:color="auto"/>
                        <w:bottom w:val="none" w:sz="0" w:space="0" w:color="auto"/>
                        <w:right w:val="none" w:sz="0" w:space="0" w:color="auto"/>
                      </w:divBdr>
                    </w:div>
                  </w:divsChild>
                </w:div>
                <w:div w:id="2141915694">
                  <w:marLeft w:val="0"/>
                  <w:marRight w:val="0"/>
                  <w:marTop w:val="0"/>
                  <w:marBottom w:val="0"/>
                  <w:divBdr>
                    <w:top w:val="none" w:sz="0" w:space="0" w:color="auto"/>
                    <w:left w:val="none" w:sz="0" w:space="0" w:color="auto"/>
                    <w:bottom w:val="none" w:sz="0" w:space="0" w:color="auto"/>
                    <w:right w:val="none" w:sz="0" w:space="0" w:color="auto"/>
                  </w:divBdr>
                  <w:divsChild>
                    <w:div w:id="881942228">
                      <w:marLeft w:val="0"/>
                      <w:marRight w:val="0"/>
                      <w:marTop w:val="0"/>
                      <w:marBottom w:val="0"/>
                      <w:divBdr>
                        <w:top w:val="none" w:sz="0" w:space="0" w:color="auto"/>
                        <w:left w:val="none" w:sz="0" w:space="0" w:color="auto"/>
                        <w:bottom w:val="none" w:sz="0" w:space="0" w:color="auto"/>
                        <w:right w:val="none" w:sz="0" w:space="0" w:color="auto"/>
                      </w:divBdr>
                    </w:div>
                  </w:divsChild>
                </w:div>
                <w:div w:id="1825394870">
                  <w:marLeft w:val="0"/>
                  <w:marRight w:val="0"/>
                  <w:marTop w:val="0"/>
                  <w:marBottom w:val="0"/>
                  <w:divBdr>
                    <w:top w:val="none" w:sz="0" w:space="0" w:color="auto"/>
                    <w:left w:val="none" w:sz="0" w:space="0" w:color="auto"/>
                    <w:bottom w:val="none" w:sz="0" w:space="0" w:color="auto"/>
                    <w:right w:val="none" w:sz="0" w:space="0" w:color="auto"/>
                  </w:divBdr>
                  <w:divsChild>
                    <w:div w:id="44064887">
                      <w:marLeft w:val="0"/>
                      <w:marRight w:val="0"/>
                      <w:marTop w:val="0"/>
                      <w:marBottom w:val="0"/>
                      <w:divBdr>
                        <w:top w:val="none" w:sz="0" w:space="0" w:color="auto"/>
                        <w:left w:val="none" w:sz="0" w:space="0" w:color="auto"/>
                        <w:bottom w:val="none" w:sz="0" w:space="0" w:color="auto"/>
                        <w:right w:val="none" w:sz="0" w:space="0" w:color="auto"/>
                      </w:divBdr>
                    </w:div>
                  </w:divsChild>
                </w:div>
                <w:div w:id="1836918184">
                  <w:marLeft w:val="0"/>
                  <w:marRight w:val="0"/>
                  <w:marTop w:val="0"/>
                  <w:marBottom w:val="0"/>
                  <w:divBdr>
                    <w:top w:val="none" w:sz="0" w:space="0" w:color="auto"/>
                    <w:left w:val="none" w:sz="0" w:space="0" w:color="auto"/>
                    <w:bottom w:val="none" w:sz="0" w:space="0" w:color="auto"/>
                    <w:right w:val="none" w:sz="0" w:space="0" w:color="auto"/>
                  </w:divBdr>
                  <w:divsChild>
                    <w:div w:id="1916697568">
                      <w:marLeft w:val="0"/>
                      <w:marRight w:val="0"/>
                      <w:marTop w:val="0"/>
                      <w:marBottom w:val="0"/>
                      <w:divBdr>
                        <w:top w:val="none" w:sz="0" w:space="0" w:color="auto"/>
                        <w:left w:val="none" w:sz="0" w:space="0" w:color="auto"/>
                        <w:bottom w:val="none" w:sz="0" w:space="0" w:color="auto"/>
                        <w:right w:val="none" w:sz="0" w:space="0" w:color="auto"/>
                      </w:divBdr>
                    </w:div>
                  </w:divsChild>
                </w:div>
                <w:div w:id="218134902">
                  <w:marLeft w:val="0"/>
                  <w:marRight w:val="0"/>
                  <w:marTop w:val="0"/>
                  <w:marBottom w:val="0"/>
                  <w:divBdr>
                    <w:top w:val="none" w:sz="0" w:space="0" w:color="auto"/>
                    <w:left w:val="none" w:sz="0" w:space="0" w:color="auto"/>
                    <w:bottom w:val="none" w:sz="0" w:space="0" w:color="auto"/>
                    <w:right w:val="none" w:sz="0" w:space="0" w:color="auto"/>
                  </w:divBdr>
                  <w:divsChild>
                    <w:div w:id="1068654272">
                      <w:marLeft w:val="0"/>
                      <w:marRight w:val="0"/>
                      <w:marTop w:val="0"/>
                      <w:marBottom w:val="0"/>
                      <w:divBdr>
                        <w:top w:val="none" w:sz="0" w:space="0" w:color="auto"/>
                        <w:left w:val="none" w:sz="0" w:space="0" w:color="auto"/>
                        <w:bottom w:val="none" w:sz="0" w:space="0" w:color="auto"/>
                        <w:right w:val="none" w:sz="0" w:space="0" w:color="auto"/>
                      </w:divBdr>
                    </w:div>
                  </w:divsChild>
                </w:div>
                <w:div w:id="605773347">
                  <w:marLeft w:val="0"/>
                  <w:marRight w:val="0"/>
                  <w:marTop w:val="0"/>
                  <w:marBottom w:val="0"/>
                  <w:divBdr>
                    <w:top w:val="none" w:sz="0" w:space="0" w:color="auto"/>
                    <w:left w:val="none" w:sz="0" w:space="0" w:color="auto"/>
                    <w:bottom w:val="none" w:sz="0" w:space="0" w:color="auto"/>
                    <w:right w:val="none" w:sz="0" w:space="0" w:color="auto"/>
                  </w:divBdr>
                  <w:divsChild>
                    <w:div w:id="1393504377">
                      <w:marLeft w:val="0"/>
                      <w:marRight w:val="0"/>
                      <w:marTop w:val="0"/>
                      <w:marBottom w:val="0"/>
                      <w:divBdr>
                        <w:top w:val="none" w:sz="0" w:space="0" w:color="auto"/>
                        <w:left w:val="none" w:sz="0" w:space="0" w:color="auto"/>
                        <w:bottom w:val="none" w:sz="0" w:space="0" w:color="auto"/>
                        <w:right w:val="none" w:sz="0" w:space="0" w:color="auto"/>
                      </w:divBdr>
                    </w:div>
                  </w:divsChild>
                </w:div>
                <w:div w:id="661275097">
                  <w:marLeft w:val="0"/>
                  <w:marRight w:val="0"/>
                  <w:marTop w:val="0"/>
                  <w:marBottom w:val="0"/>
                  <w:divBdr>
                    <w:top w:val="none" w:sz="0" w:space="0" w:color="auto"/>
                    <w:left w:val="none" w:sz="0" w:space="0" w:color="auto"/>
                    <w:bottom w:val="none" w:sz="0" w:space="0" w:color="auto"/>
                    <w:right w:val="none" w:sz="0" w:space="0" w:color="auto"/>
                  </w:divBdr>
                  <w:divsChild>
                    <w:div w:id="120925428">
                      <w:marLeft w:val="0"/>
                      <w:marRight w:val="0"/>
                      <w:marTop w:val="0"/>
                      <w:marBottom w:val="0"/>
                      <w:divBdr>
                        <w:top w:val="none" w:sz="0" w:space="0" w:color="auto"/>
                        <w:left w:val="none" w:sz="0" w:space="0" w:color="auto"/>
                        <w:bottom w:val="none" w:sz="0" w:space="0" w:color="auto"/>
                        <w:right w:val="none" w:sz="0" w:space="0" w:color="auto"/>
                      </w:divBdr>
                    </w:div>
                  </w:divsChild>
                </w:div>
                <w:div w:id="905995846">
                  <w:marLeft w:val="0"/>
                  <w:marRight w:val="0"/>
                  <w:marTop w:val="0"/>
                  <w:marBottom w:val="0"/>
                  <w:divBdr>
                    <w:top w:val="none" w:sz="0" w:space="0" w:color="auto"/>
                    <w:left w:val="none" w:sz="0" w:space="0" w:color="auto"/>
                    <w:bottom w:val="none" w:sz="0" w:space="0" w:color="auto"/>
                    <w:right w:val="none" w:sz="0" w:space="0" w:color="auto"/>
                  </w:divBdr>
                  <w:divsChild>
                    <w:div w:id="1115179742">
                      <w:marLeft w:val="0"/>
                      <w:marRight w:val="0"/>
                      <w:marTop w:val="0"/>
                      <w:marBottom w:val="0"/>
                      <w:divBdr>
                        <w:top w:val="none" w:sz="0" w:space="0" w:color="auto"/>
                        <w:left w:val="none" w:sz="0" w:space="0" w:color="auto"/>
                        <w:bottom w:val="none" w:sz="0" w:space="0" w:color="auto"/>
                        <w:right w:val="none" w:sz="0" w:space="0" w:color="auto"/>
                      </w:divBdr>
                    </w:div>
                  </w:divsChild>
                </w:div>
                <w:div w:id="397173277">
                  <w:marLeft w:val="0"/>
                  <w:marRight w:val="0"/>
                  <w:marTop w:val="0"/>
                  <w:marBottom w:val="0"/>
                  <w:divBdr>
                    <w:top w:val="none" w:sz="0" w:space="0" w:color="auto"/>
                    <w:left w:val="none" w:sz="0" w:space="0" w:color="auto"/>
                    <w:bottom w:val="none" w:sz="0" w:space="0" w:color="auto"/>
                    <w:right w:val="none" w:sz="0" w:space="0" w:color="auto"/>
                  </w:divBdr>
                  <w:divsChild>
                    <w:div w:id="1005472157">
                      <w:marLeft w:val="0"/>
                      <w:marRight w:val="0"/>
                      <w:marTop w:val="0"/>
                      <w:marBottom w:val="0"/>
                      <w:divBdr>
                        <w:top w:val="none" w:sz="0" w:space="0" w:color="auto"/>
                        <w:left w:val="none" w:sz="0" w:space="0" w:color="auto"/>
                        <w:bottom w:val="none" w:sz="0" w:space="0" w:color="auto"/>
                        <w:right w:val="none" w:sz="0" w:space="0" w:color="auto"/>
                      </w:divBdr>
                    </w:div>
                  </w:divsChild>
                </w:div>
                <w:div w:id="1930233769">
                  <w:marLeft w:val="0"/>
                  <w:marRight w:val="0"/>
                  <w:marTop w:val="0"/>
                  <w:marBottom w:val="0"/>
                  <w:divBdr>
                    <w:top w:val="none" w:sz="0" w:space="0" w:color="auto"/>
                    <w:left w:val="none" w:sz="0" w:space="0" w:color="auto"/>
                    <w:bottom w:val="none" w:sz="0" w:space="0" w:color="auto"/>
                    <w:right w:val="none" w:sz="0" w:space="0" w:color="auto"/>
                  </w:divBdr>
                  <w:divsChild>
                    <w:div w:id="115174093">
                      <w:marLeft w:val="0"/>
                      <w:marRight w:val="0"/>
                      <w:marTop w:val="0"/>
                      <w:marBottom w:val="0"/>
                      <w:divBdr>
                        <w:top w:val="none" w:sz="0" w:space="0" w:color="auto"/>
                        <w:left w:val="none" w:sz="0" w:space="0" w:color="auto"/>
                        <w:bottom w:val="none" w:sz="0" w:space="0" w:color="auto"/>
                        <w:right w:val="none" w:sz="0" w:space="0" w:color="auto"/>
                      </w:divBdr>
                    </w:div>
                  </w:divsChild>
                </w:div>
                <w:div w:id="1584030027">
                  <w:marLeft w:val="0"/>
                  <w:marRight w:val="0"/>
                  <w:marTop w:val="0"/>
                  <w:marBottom w:val="0"/>
                  <w:divBdr>
                    <w:top w:val="none" w:sz="0" w:space="0" w:color="auto"/>
                    <w:left w:val="none" w:sz="0" w:space="0" w:color="auto"/>
                    <w:bottom w:val="none" w:sz="0" w:space="0" w:color="auto"/>
                    <w:right w:val="none" w:sz="0" w:space="0" w:color="auto"/>
                  </w:divBdr>
                  <w:divsChild>
                    <w:div w:id="1490750577">
                      <w:marLeft w:val="0"/>
                      <w:marRight w:val="0"/>
                      <w:marTop w:val="0"/>
                      <w:marBottom w:val="0"/>
                      <w:divBdr>
                        <w:top w:val="none" w:sz="0" w:space="0" w:color="auto"/>
                        <w:left w:val="none" w:sz="0" w:space="0" w:color="auto"/>
                        <w:bottom w:val="none" w:sz="0" w:space="0" w:color="auto"/>
                        <w:right w:val="none" w:sz="0" w:space="0" w:color="auto"/>
                      </w:divBdr>
                    </w:div>
                  </w:divsChild>
                </w:div>
                <w:div w:id="134177771">
                  <w:marLeft w:val="0"/>
                  <w:marRight w:val="0"/>
                  <w:marTop w:val="0"/>
                  <w:marBottom w:val="0"/>
                  <w:divBdr>
                    <w:top w:val="none" w:sz="0" w:space="0" w:color="auto"/>
                    <w:left w:val="none" w:sz="0" w:space="0" w:color="auto"/>
                    <w:bottom w:val="none" w:sz="0" w:space="0" w:color="auto"/>
                    <w:right w:val="none" w:sz="0" w:space="0" w:color="auto"/>
                  </w:divBdr>
                  <w:divsChild>
                    <w:div w:id="578755199">
                      <w:marLeft w:val="0"/>
                      <w:marRight w:val="0"/>
                      <w:marTop w:val="0"/>
                      <w:marBottom w:val="0"/>
                      <w:divBdr>
                        <w:top w:val="none" w:sz="0" w:space="0" w:color="auto"/>
                        <w:left w:val="none" w:sz="0" w:space="0" w:color="auto"/>
                        <w:bottom w:val="none" w:sz="0" w:space="0" w:color="auto"/>
                        <w:right w:val="none" w:sz="0" w:space="0" w:color="auto"/>
                      </w:divBdr>
                    </w:div>
                  </w:divsChild>
                </w:div>
                <w:div w:id="225379205">
                  <w:marLeft w:val="0"/>
                  <w:marRight w:val="0"/>
                  <w:marTop w:val="0"/>
                  <w:marBottom w:val="0"/>
                  <w:divBdr>
                    <w:top w:val="none" w:sz="0" w:space="0" w:color="auto"/>
                    <w:left w:val="none" w:sz="0" w:space="0" w:color="auto"/>
                    <w:bottom w:val="none" w:sz="0" w:space="0" w:color="auto"/>
                    <w:right w:val="none" w:sz="0" w:space="0" w:color="auto"/>
                  </w:divBdr>
                  <w:divsChild>
                    <w:div w:id="1375737427">
                      <w:marLeft w:val="0"/>
                      <w:marRight w:val="0"/>
                      <w:marTop w:val="0"/>
                      <w:marBottom w:val="0"/>
                      <w:divBdr>
                        <w:top w:val="none" w:sz="0" w:space="0" w:color="auto"/>
                        <w:left w:val="none" w:sz="0" w:space="0" w:color="auto"/>
                        <w:bottom w:val="none" w:sz="0" w:space="0" w:color="auto"/>
                        <w:right w:val="none" w:sz="0" w:space="0" w:color="auto"/>
                      </w:divBdr>
                    </w:div>
                  </w:divsChild>
                </w:div>
                <w:div w:id="1564245961">
                  <w:marLeft w:val="0"/>
                  <w:marRight w:val="0"/>
                  <w:marTop w:val="0"/>
                  <w:marBottom w:val="0"/>
                  <w:divBdr>
                    <w:top w:val="none" w:sz="0" w:space="0" w:color="auto"/>
                    <w:left w:val="none" w:sz="0" w:space="0" w:color="auto"/>
                    <w:bottom w:val="none" w:sz="0" w:space="0" w:color="auto"/>
                    <w:right w:val="none" w:sz="0" w:space="0" w:color="auto"/>
                  </w:divBdr>
                  <w:divsChild>
                    <w:div w:id="233204736">
                      <w:marLeft w:val="0"/>
                      <w:marRight w:val="0"/>
                      <w:marTop w:val="0"/>
                      <w:marBottom w:val="0"/>
                      <w:divBdr>
                        <w:top w:val="none" w:sz="0" w:space="0" w:color="auto"/>
                        <w:left w:val="none" w:sz="0" w:space="0" w:color="auto"/>
                        <w:bottom w:val="none" w:sz="0" w:space="0" w:color="auto"/>
                        <w:right w:val="none" w:sz="0" w:space="0" w:color="auto"/>
                      </w:divBdr>
                    </w:div>
                  </w:divsChild>
                </w:div>
                <w:div w:id="1460339892">
                  <w:marLeft w:val="0"/>
                  <w:marRight w:val="0"/>
                  <w:marTop w:val="0"/>
                  <w:marBottom w:val="0"/>
                  <w:divBdr>
                    <w:top w:val="none" w:sz="0" w:space="0" w:color="auto"/>
                    <w:left w:val="none" w:sz="0" w:space="0" w:color="auto"/>
                    <w:bottom w:val="none" w:sz="0" w:space="0" w:color="auto"/>
                    <w:right w:val="none" w:sz="0" w:space="0" w:color="auto"/>
                  </w:divBdr>
                  <w:divsChild>
                    <w:div w:id="1732381605">
                      <w:marLeft w:val="0"/>
                      <w:marRight w:val="0"/>
                      <w:marTop w:val="0"/>
                      <w:marBottom w:val="0"/>
                      <w:divBdr>
                        <w:top w:val="none" w:sz="0" w:space="0" w:color="auto"/>
                        <w:left w:val="none" w:sz="0" w:space="0" w:color="auto"/>
                        <w:bottom w:val="none" w:sz="0" w:space="0" w:color="auto"/>
                        <w:right w:val="none" w:sz="0" w:space="0" w:color="auto"/>
                      </w:divBdr>
                    </w:div>
                  </w:divsChild>
                </w:div>
                <w:div w:id="830605590">
                  <w:marLeft w:val="0"/>
                  <w:marRight w:val="0"/>
                  <w:marTop w:val="0"/>
                  <w:marBottom w:val="0"/>
                  <w:divBdr>
                    <w:top w:val="none" w:sz="0" w:space="0" w:color="auto"/>
                    <w:left w:val="none" w:sz="0" w:space="0" w:color="auto"/>
                    <w:bottom w:val="none" w:sz="0" w:space="0" w:color="auto"/>
                    <w:right w:val="none" w:sz="0" w:space="0" w:color="auto"/>
                  </w:divBdr>
                  <w:divsChild>
                    <w:div w:id="81343763">
                      <w:marLeft w:val="0"/>
                      <w:marRight w:val="0"/>
                      <w:marTop w:val="0"/>
                      <w:marBottom w:val="0"/>
                      <w:divBdr>
                        <w:top w:val="none" w:sz="0" w:space="0" w:color="auto"/>
                        <w:left w:val="none" w:sz="0" w:space="0" w:color="auto"/>
                        <w:bottom w:val="none" w:sz="0" w:space="0" w:color="auto"/>
                        <w:right w:val="none" w:sz="0" w:space="0" w:color="auto"/>
                      </w:divBdr>
                    </w:div>
                  </w:divsChild>
                </w:div>
                <w:div w:id="1678729771">
                  <w:marLeft w:val="0"/>
                  <w:marRight w:val="0"/>
                  <w:marTop w:val="0"/>
                  <w:marBottom w:val="0"/>
                  <w:divBdr>
                    <w:top w:val="none" w:sz="0" w:space="0" w:color="auto"/>
                    <w:left w:val="none" w:sz="0" w:space="0" w:color="auto"/>
                    <w:bottom w:val="none" w:sz="0" w:space="0" w:color="auto"/>
                    <w:right w:val="none" w:sz="0" w:space="0" w:color="auto"/>
                  </w:divBdr>
                  <w:divsChild>
                    <w:div w:id="651832993">
                      <w:marLeft w:val="0"/>
                      <w:marRight w:val="0"/>
                      <w:marTop w:val="0"/>
                      <w:marBottom w:val="0"/>
                      <w:divBdr>
                        <w:top w:val="none" w:sz="0" w:space="0" w:color="auto"/>
                        <w:left w:val="none" w:sz="0" w:space="0" w:color="auto"/>
                        <w:bottom w:val="none" w:sz="0" w:space="0" w:color="auto"/>
                        <w:right w:val="none" w:sz="0" w:space="0" w:color="auto"/>
                      </w:divBdr>
                    </w:div>
                  </w:divsChild>
                </w:div>
                <w:div w:id="1957449017">
                  <w:marLeft w:val="0"/>
                  <w:marRight w:val="0"/>
                  <w:marTop w:val="0"/>
                  <w:marBottom w:val="0"/>
                  <w:divBdr>
                    <w:top w:val="none" w:sz="0" w:space="0" w:color="auto"/>
                    <w:left w:val="none" w:sz="0" w:space="0" w:color="auto"/>
                    <w:bottom w:val="none" w:sz="0" w:space="0" w:color="auto"/>
                    <w:right w:val="none" w:sz="0" w:space="0" w:color="auto"/>
                  </w:divBdr>
                  <w:divsChild>
                    <w:div w:id="534999791">
                      <w:marLeft w:val="0"/>
                      <w:marRight w:val="0"/>
                      <w:marTop w:val="0"/>
                      <w:marBottom w:val="0"/>
                      <w:divBdr>
                        <w:top w:val="none" w:sz="0" w:space="0" w:color="auto"/>
                        <w:left w:val="none" w:sz="0" w:space="0" w:color="auto"/>
                        <w:bottom w:val="none" w:sz="0" w:space="0" w:color="auto"/>
                        <w:right w:val="none" w:sz="0" w:space="0" w:color="auto"/>
                      </w:divBdr>
                    </w:div>
                  </w:divsChild>
                </w:div>
                <w:div w:id="1745491311">
                  <w:marLeft w:val="0"/>
                  <w:marRight w:val="0"/>
                  <w:marTop w:val="0"/>
                  <w:marBottom w:val="0"/>
                  <w:divBdr>
                    <w:top w:val="none" w:sz="0" w:space="0" w:color="auto"/>
                    <w:left w:val="none" w:sz="0" w:space="0" w:color="auto"/>
                    <w:bottom w:val="none" w:sz="0" w:space="0" w:color="auto"/>
                    <w:right w:val="none" w:sz="0" w:space="0" w:color="auto"/>
                  </w:divBdr>
                  <w:divsChild>
                    <w:div w:id="687222269">
                      <w:marLeft w:val="0"/>
                      <w:marRight w:val="0"/>
                      <w:marTop w:val="0"/>
                      <w:marBottom w:val="0"/>
                      <w:divBdr>
                        <w:top w:val="none" w:sz="0" w:space="0" w:color="auto"/>
                        <w:left w:val="none" w:sz="0" w:space="0" w:color="auto"/>
                        <w:bottom w:val="none" w:sz="0" w:space="0" w:color="auto"/>
                        <w:right w:val="none" w:sz="0" w:space="0" w:color="auto"/>
                      </w:divBdr>
                    </w:div>
                  </w:divsChild>
                </w:div>
                <w:div w:id="247495561">
                  <w:marLeft w:val="0"/>
                  <w:marRight w:val="0"/>
                  <w:marTop w:val="0"/>
                  <w:marBottom w:val="0"/>
                  <w:divBdr>
                    <w:top w:val="none" w:sz="0" w:space="0" w:color="auto"/>
                    <w:left w:val="none" w:sz="0" w:space="0" w:color="auto"/>
                    <w:bottom w:val="none" w:sz="0" w:space="0" w:color="auto"/>
                    <w:right w:val="none" w:sz="0" w:space="0" w:color="auto"/>
                  </w:divBdr>
                  <w:divsChild>
                    <w:div w:id="1590843759">
                      <w:marLeft w:val="0"/>
                      <w:marRight w:val="0"/>
                      <w:marTop w:val="0"/>
                      <w:marBottom w:val="0"/>
                      <w:divBdr>
                        <w:top w:val="none" w:sz="0" w:space="0" w:color="auto"/>
                        <w:left w:val="none" w:sz="0" w:space="0" w:color="auto"/>
                        <w:bottom w:val="none" w:sz="0" w:space="0" w:color="auto"/>
                        <w:right w:val="none" w:sz="0" w:space="0" w:color="auto"/>
                      </w:divBdr>
                    </w:div>
                  </w:divsChild>
                </w:div>
                <w:div w:id="485826698">
                  <w:marLeft w:val="0"/>
                  <w:marRight w:val="0"/>
                  <w:marTop w:val="0"/>
                  <w:marBottom w:val="0"/>
                  <w:divBdr>
                    <w:top w:val="none" w:sz="0" w:space="0" w:color="auto"/>
                    <w:left w:val="none" w:sz="0" w:space="0" w:color="auto"/>
                    <w:bottom w:val="none" w:sz="0" w:space="0" w:color="auto"/>
                    <w:right w:val="none" w:sz="0" w:space="0" w:color="auto"/>
                  </w:divBdr>
                  <w:divsChild>
                    <w:div w:id="1613048432">
                      <w:marLeft w:val="0"/>
                      <w:marRight w:val="0"/>
                      <w:marTop w:val="0"/>
                      <w:marBottom w:val="0"/>
                      <w:divBdr>
                        <w:top w:val="none" w:sz="0" w:space="0" w:color="auto"/>
                        <w:left w:val="none" w:sz="0" w:space="0" w:color="auto"/>
                        <w:bottom w:val="none" w:sz="0" w:space="0" w:color="auto"/>
                        <w:right w:val="none" w:sz="0" w:space="0" w:color="auto"/>
                      </w:divBdr>
                    </w:div>
                  </w:divsChild>
                </w:div>
                <w:div w:id="1902715714">
                  <w:marLeft w:val="0"/>
                  <w:marRight w:val="0"/>
                  <w:marTop w:val="0"/>
                  <w:marBottom w:val="0"/>
                  <w:divBdr>
                    <w:top w:val="none" w:sz="0" w:space="0" w:color="auto"/>
                    <w:left w:val="none" w:sz="0" w:space="0" w:color="auto"/>
                    <w:bottom w:val="none" w:sz="0" w:space="0" w:color="auto"/>
                    <w:right w:val="none" w:sz="0" w:space="0" w:color="auto"/>
                  </w:divBdr>
                  <w:divsChild>
                    <w:div w:id="1908685971">
                      <w:marLeft w:val="0"/>
                      <w:marRight w:val="0"/>
                      <w:marTop w:val="0"/>
                      <w:marBottom w:val="0"/>
                      <w:divBdr>
                        <w:top w:val="none" w:sz="0" w:space="0" w:color="auto"/>
                        <w:left w:val="none" w:sz="0" w:space="0" w:color="auto"/>
                        <w:bottom w:val="none" w:sz="0" w:space="0" w:color="auto"/>
                        <w:right w:val="none" w:sz="0" w:space="0" w:color="auto"/>
                      </w:divBdr>
                    </w:div>
                  </w:divsChild>
                </w:div>
                <w:div w:id="932972814">
                  <w:marLeft w:val="0"/>
                  <w:marRight w:val="0"/>
                  <w:marTop w:val="0"/>
                  <w:marBottom w:val="0"/>
                  <w:divBdr>
                    <w:top w:val="none" w:sz="0" w:space="0" w:color="auto"/>
                    <w:left w:val="none" w:sz="0" w:space="0" w:color="auto"/>
                    <w:bottom w:val="none" w:sz="0" w:space="0" w:color="auto"/>
                    <w:right w:val="none" w:sz="0" w:space="0" w:color="auto"/>
                  </w:divBdr>
                  <w:divsChild>
                    <w:div w:id="711538586">
                      <w:marLeft w:val="0"/>
                      <w:marRight w:val="0"/>
                      <w:marTop w:val="0"/>
                      <w:marBottom w:val="0"/>
                      <w:divBdr>
                        <w:top w:val="none" w:sz="0" w:space="0" w:color="auto"/>
                        <w:left w:val="none" w:sz="0" w:space="0" w:color="auto"/>
                        <w:bottom w:val="none" w:sz="0" w:space="0" w:color="auto"/>
                        <w:right w:val="none" w:sz="0" w:space="0" w:color="auto"/>
                      </w:divBdr>
                    </w:div>
                  </w:divsChild>
                </w:div>
                <w:div w:id="1590966586">
                  <w:marLeft w:val="0"/>
                  <w:marRight w:val="0"/>
                  <w:marTop w:val="0"/>
                  <w:marBottom w:val="0"/>
                  <w:divBdr>
                    <w:top w:val="none" w:sz="0" w:space="0" w:color="auto"/>
                    <w:left w:val="none" w:sz="0" w:space="0" w:color="auto"/>
                    <w:bottom w:val="none" w:sz="0" w:space="0" w:color="auto"/>
                    <w:right w:val="none" w:sz="0" w:space="0" w:color="auto"/>
                  </w:divBdr>
                  <w:divsChild>
                    <w:div w:id="1674793302">
                      <w:marLeft w:val="0"/>
                      <w:marRight w:val="0"/>
                      <w:marTop w:val="0"/>
                      <w:marBottom w:val="0"/>
                      <w:divBdr>
                        <w:top w:val="none" w:sz="0" w:space="0" w:color="auto"/>
                        <w:left w:val="none" w:sz="0" w:space="0" w:color="auto"/>
                        <w:bottom w:val="none" w:sz="0" w:space="0" w:color="auto"/>
                        <w:right w:val="none" w:sz="0" w:space="0" w:color="auto"/>
                      </w:divBdr>
                    </w:div>
                  </w:divsChild>
                </w:div>
                <w:div w:id="1689715769">
                  <w:marLeft w:val="0"/>
                  <w:marRight w:val="0"/>
                  <w:marTop w:val="0"/>
                  <w:marBottom w:val="0"/>
                  <w:divBdr>
                    <w:top w:val="none" w:sz="0" w:space="0" w:color="auto"/>
                    <w:left w:val="none" w:sz="0" w:space="0" w:color="auto"/>
                    <w:bottom w:val="none" w:sz="0" w:space="0" w:color="auto"/>
                    <w:right w:val="none" w:sz="0" w:space="0" w:color="auto"/>
                  </w:divBdr>
                  <w:divsChild>
                    <w:div w:id="155345209">
                      <w:marLeft w:val="0"/>
                      <w:marRight w:val="0"/>
                      <w:marTop w:val="0"/>
                      <w:marBottom w:val="0"/>
                      <w:divBdr>
                        <w:top w:val="none" w:sz="0" w:space="0" w:color="auto"/>
                        <w:left w:val="none" w:sz="0" w:space="0" w:color="auto"/>
                        <w:bottom w:val="none" w:sz="0" w:space="0" w:color="auto"/>
                        <w:right w:val="none" w:sz="0" w:space="0" w:color="auto"/>
                      </w:divBdr>
                    </w:div>
                  </w:divsChild>
                </w:div>
                <w:div w:id="1721368742">
                  <w:marLeft w:val="0"/>
                  <w:marRight w:val="0"/>
                  <w:marTop w:val="0"/>
                  <w:marBottom w:val="0"/>
                  <w:divBdr>
                    <w:top w:val="none" w:sz="0" w:space="0" w:color="auto"/>
                    <w:left w:val="none" w:sz="0" w:space="0" w:color="auto"/>
                    <w:bottom w:val="none" w:sz="0" w:space="0" w:color="auto"/>
                    <w:right w:val="none" w:sz="0" w:space="0" w:color="auto"/>
                  </w:divBdr>
                  <w:divsChild>
                    <w:div w:id="308902189">
                      <w:marLeft w:val="0"/>
                      <w:marRight w:val="0"/>
                      <w:marTop w:val="0"/>
                      <w:marBottom w:val="0"/>
                      <w:divBdr>
                        <w:top w:val="none" w:sz="0" w:space="0" w:color="auto"/>
                        <w:left w:val="none" w:sz="0" w:space="0" w:color="auto"/>
                        <w:bottom w:val="none" w:sz="0" w:space="0" w:color="auto"/>
                        <w:right w:val="none" w:sz="0" w:space="0" w:color="auto"/>
                      </w:divBdr>
                    </w:div>
                  </w:divsChild>
                </w:div>
                <w:div w:id="199900297">
                  <w:marLeft w:val="0"/>
                  <w:marRight w:val="0"/>
                  <w:marTop w:val="0"/>
                  <w:marBottom w:val="0"/>
                  <w:divBdr>
                    <w:top w:val="none" w:sz="0" w:space="0" w:color="auto"/>
                    <w:left w:val="none" w:sz="0" w:space="0" w:color="auto"/>
                    <w:bottom w:val="none" w:sz="0" w:space="0" w:color="auto"/>
                    <w:right w:val="none" w:sz="0" w:space="0" w:color="auto"/>
                  </w:divBdr>
                  <w:divsChild>
                    <w:div w:id="1781491292">
                      <w:marLeft w:val="0"/>
                      <w:marRight w:val="0"/>
                      <w:marTop w:val="0"/>
                      <w:marBottom w:val="0"/>
                      <w:divBdr>
                        <w:top w:val="none" w:sz="0" w:space="0" w:color="auto"/>
                        <w:left w:val="none" w:sz="0" w:space="0" w:color="auto"/>
                        <w:bottom w:val="none" w:sz="0" w:space="0" w:color="auto"/>
                        <w:right w:val="none" w:sz="0" w:space="0" w:color="auto"/>
                      </w:divBdr>
                    </w:div>
                  </w:divsChild>
                </w:div>
                <w:div w:id="1324163898">
                  <w:marLeft w:val="0"/>
                  <w:marRight w:val="0"/>
                  <w:marTop w:val="0"/>
                  <w:marBottom w:val="0"/>
                  <w:divBdr>
                    <w:top w:val="none" w:sz="0" w:space="0" w:color="auto"/>
                    <w:left w:val="none" w:sz="0" w:space="0" w:color="auto"/>
                    <w:bottom w:val="none" w:sz="0" w:space="0" w:color="auto"/>
                    <w:right w:val="none" w:sz="0" w:space="0" w:color="auto"/>
                  </w:divBdr>
                  <w:divsChild>
                    <w:div w:id="2128888328">
                      <w:marLeft w:val="0"/>
                      <w:marRight w:val="0"/>
                      <w:marTop w:val="0"/>
                      <w:marBottom w:val="0"/>
                      <w:divBdr>
                        <w:top w:val="none" w:sz="0" w:space="0" w:color="auto"/>
                        <w:left w:val="none" w:sz="0" w:space="0" w:color="auto"/>
                        <w:bottom w:val="none" w:sz="0" w:space="0" w:color="auto"/>
                        <w:right w:val="none" w:sz="0" w:space="0" w:color="auto"/>
                      </w:divBdr>
                    </w:div>
                  </w:divsChild>
                </w:div>
                <w:div w:id="1600988608">
                  <w:marLeft w:val="0"/>
                  <w:marRight w:val="0"/>
                  <w:marTop w:val="0"/>
                  <w:marBottom w:val="0"/>
                  <w:divBdr>
                    <w:top w:val="none" w:sz="0" w:space="0" w:color="auto"/>
                    <w:left w:val="none" w:sz="0" w:space="0" w:color="auto"/>
                    <w:bottom w:val="none" w:sz="0" w:space="0" w:color="auto"/>
                    <w:right w:val="none" w:sz="0" w:space="0" w:color="auto"/>
                  </w:divBdr>
                  <w:divsChild>
                    <w:div w:id="2112385982">
                      <w:marLeft w:val="0"/>
                      <w:marRight w:val="0"/>
                      <w:marTop w:val="0"/>
                      <w:marBottom w:val="0"/>
                      <w:divBdr>
                        <w:top w:val="none" w:sz="0" w:space="0" w:color="auto"/>
                        <w:left w:val="none" w:sz="0" w:space="0" w:color="auto"/>
                        <w:bottom w:val="none" w:sz="0" w:space="0" w:color="auto"/>
                        <w:right w:val="none" w:sz="0" w:space="0" w:color="auto"/>
                      </w:divBdr>
                    </w:div>
                  </w:divsChild>
                </w:div>
                <w:div w:id="2033724703">
                  <w:marLeft w:val="0"/>
                  <w:marRight w:val="0"/>
                  <w:marTop w:val="0"/>
                  <w:marBottom w:val="0"/>
                  <w:divBdr>
                    <w:top w:val="none" w:sz="0" w:space="0" w:color="auto"/>
                    <w:left w:val="none" w:sz="0" w:space="0" w:color="auto"/>
                    <w:bottom w:val="none" w:sz="0" w:space="0" w:color="auto"/>
                    <w:right w:val="none" w:sz="0" w:space="0" w:color="auto"/>
                  </w:divBdr>
                  <w:divsChild>
                    <w:div w:id="1115101135">
                      <w:marLeft w:val="0"/>
                      <w:marRight w:val="0"/>
                      <w:marTop w:val="0"/>
                      <w:marBottom w:val="0"/>
                      <w:divBdr>
                        <w:top w:val="none" w:sz="0" w:space="0" w:color="auto"/>
                        <w:left w:val="none" w:sz="0" w:space="0" w:color="auto"/>
                        <w:bottom w:val="none" w:sz="0" w:space="0" w:color="auto"/>
                        <w:right w:val="none" w:sz="0" w:space="0" w:color="auto"/>
                      </w:divBdr>
                    </w:div>
                  </w:divsChild>
                </w:div>
                <w:div w:id="254361772">
                  <w:marLeft w:val="0"/>
                  <w:marRight w:val="0"/>
                  <w:marTop w:val="0"/>
                  <w:marBottom w:val="0"/>
                  <w:divBdr>
                    <w:top w:val="none" w:sz="0" w:space="0" w:color="auto"/>
                    <w:left w:val="none" w:sz="0" w:space="0" w:color="auto"/>
                    <w:bottom w:val="none" w:sz="0" w:space="0" w:color="auto"/>
                    <w:right w:val="none" w:sz="0" w:space="0" w:color="auto"/>
                  </w:divBdr>
                  <w:divsChild>
                    <w:div w:id="72823218">
                      <w:marLeft w:val="0"/>
                      <w:marRight w:val="0"/>
                      <w:marTop w:val="0"/>
                      <w:marBottom w:val="0"/>
                      <w:divBdr>
                        <w:top w:val="none" w:sz="0" w:space="0" w:color="auto"/>
                        <w:left w:val="none" w:sz="0" w:space="0" w:color="auto"/>
                        <w:bottom w:val="none" w:sz="0" w:space="0" w:color="auto"/>
                        <w:right w:val="none" w:sz="0" w:space="0" w:color="auto"/>
                      </w:divBdr>
                    </w:div>
                  </w:divsChild>
                </w:div>
                <w:div w:id="671687288">
                  <w:marLeft w:val="0"/>
                  <w:marRight w:val="0"/>
                  <w:marTop w:val="0"/>
                  <w:marBottom w:val="0"/>
                  <w:divBdr>
                    <w:top w:val="none" w:sz="0" w:space="0" w:color="auto"/>
                    <w:left w:val="none" w:sz="0" w:space="0" w:color="auto"/>
                    <w:bottom w:val="none" w:sz="0" w:space="0" w:color="auto"/>
                    <w:right w:val="none" w:sz="0" w:space="0" w:color="auto"/>
                  </w:divBdr>
                  <w:divsChild>
                    <w:div w:id="312031607">
                      <w:marLeft w:val="0"/>
                      <w:marRight w:val="0"/>
                      <w:marTop w:val="0"/>
                      <w:marBottom w:val="0"/>
                      <w:divBdr>
                        <w:top w:val="none" w:sz="0" w:space="0" w:color="auto"/>
                        <w:left w:val="none" w:sz="0" w:space="0" w:color="auto"/>
                        <w:bottom w:val="none" w:sz="0" w:space="0" w:color="auto"/>
                        <w:right w:val="none" w:sz="0" w:space="0" w:color="auto"/>
                      </w:divBdr>
                    </w:div>
                  </w:divsChild>
                </w:div>
                <w:div w:id="1958638936">
                  <w:marLeft w:val="0"/>
                  <w:marRight w:val="0"/>
                  <w:marTop w:val="0"/>
                  <w:marBottom w:val="0"/>
                  <w:divBdr>
                    <w:top w:val="none" w:sz="0" w:space="0" w:color="auto"/>
                    <w:left w:val="none" w:sz="0" w:space="0" w:color="auto"/>
                    <w:bottom w:val="none" w:sz="0" w:space="0" w:color="auto"/>
                    <w:right w:val="none" w:sz="0" w:space="0" w:color="auto"/>
                  </w:divBdr>
                  <w:divsChild>
                    <w:div w:id="1773892893">
                      <w:marLeft w:val="0"/>
                      <w:marRight w:val="0"/>
                      <w:marTop w:val="0"/>
                      <w:marBottom w:val="0"/>
                      <w:divBdr>
                        <w:top w:val="none" w:sz="0" w:space="0" w:color="auto"/>
                        <w:left w:val="none" w:sz="0" w:space="0" w:color="auto"/>
                        <w:bottom w:val="none" w:sz="0" w:space="0" w:color="auto"/>
                        <w:right w:val="none" w:sz="0" w:space="0" w:color="auto"/>
                      </w:divBdr>
                    </w:div>
                  </w:divsChild>
                </w:div>
                <w:div w:id="1237202471">
                  <w:marLeft w:val="0"/>
                  <w:marRight w:val="0"/>
                  <w:marTop w:val="0"/>
                  <w:marBottom w:val="0"/>
                  <w:divBdr>
                    <w:top w:val="none" w:sz="0" w:space="0" w:color="auto"/>
                    <w:left w:val="none" w:sz="0" w:space="0" w:color="auto"/>
                    <w:bottom w:val="none" w:sz="0" w:space="0" w:color="auto"/>
                    <w:right w:val="none" w:sz="0" w:space="0" w:color="auto"/>
                  </w:divBdr>
                  <w:divsChild>
                    <w:div w:id="1318339998">
                      <w:marLeft w:val="0"/>
                      <w:marRight w:val="0"/>
                      <w:marTop w:val="0"/>
                      <w:marBottom w:val="0"/>
                      <w:divBdr>
                        <w:top w:val="none" w:sz="0" w:space="0" w:color="auto"/>
                        <w:left w:val="none" w:sz="0" w:space="0" w:color="auto"/>
                        <w:bottom w:val="none" w:sz="0" w:space="0" w:color="auto"/>
                        <w:right w:val="none" w:sz="0" w:space="0" w:color="auto"/>
                      </w:divBdr>
                    </w:div>
                  </w:divsChild>
                </w:div>
                <w:div w:id="1093017125">
                  <w:marLeft w:val="0"/>
                  <w:marRight w:val="0"/>
                  <w:marTop w:val="0"/>
                  <w:marBottom w:val="0"/>
                  <w:divBdr>
                    <w:top w:val="none" w:sz="0" w:space="0" w:color="auto"/>
                    <w:left w:val="none" w:sz="0" w:space="0" w:color="auto"/>
                    <w:bottom w:val="none" w:sz="0" w:space="0" w:color="auto"/>
                    <w:right w:val="none" w:sz="0" w:space="0" w:color="auto"/>
                  </w:divBdr>
                  <w:divsChild>
                    <w:div w:id="228854946">
                      <w:marLeft w:val="0"/>
                      <w:marRight w:val="0"/>
                      <w:marTop w:val="0"/>
                      <w:marBottom w:val="0"/>
                      <w:divBdr>
                        <w:top w:val="none" w:sz="0" w:space="0" w:color="auto"/>
                        <w:left w:val="none" w:sz="0" w:space="0" w:color="auto"/>
                        <w:bottom w:val="none" w:sz="0" w:space="0" w:color="auto"/>
                        <w:right w:val="none" w:sz="0" w:space="0" w:color="auto"/>
                      </w:divBdr>
                    </w:div>
                  </w:divsChild>
                </w:div>
                <w:div w:id="1355231005">
                  <w:marLeft w:val="0"/>
                  <w:marRight w:val="0"/>
                  <w:marTop w:val="0"/>
                  <w:marBottom w:val="0"/>
                  <w:divBdr>
                    <w:top w:val="none" w:sz="0" w:space="0" w:color="auto"/>
                    <w:left w:val="none" w:sz="0" w:space="0" w:color="auto"/>
                    <w:bottom w:val="none" w:sz="0" w:space="0" w:color="auto"/>
                    <w:right w:val="none" w:sz="0" w:space="0" w:color="auto"/>
                  </w:divBdr>
                  <w:divsChild>
                    <w:div w:id="102268332">
                      <w:marLeft w:val="0"/>
                      <w:marRight w:val="0"/>
                      <w:marTop w:val="0"/>
                      <w:marBottom w:val="0"/>
                      <w:divBdr>
                        <w:top w:val="none" w:sz="0" w:space="0" w:color="auto"/>
                        <w:left w:val="none" w:sz="0" w:space="0" w:color="auto"/>
                        <w:bottom w:val="none" w:sz="0" w:space="0" w:color="auto"/>
                        <w:right w:val="none" w:sz="0" w:space="0" w:color="auto"/>
                      </w:divBdr>
                    </w:div>
                  </w:divsChild>
                </w:div>
                <w:div w:id="647244076">
                  <w:marLeft w:val="0"/>
                  <w:marRight w:val="0"/>
                  <w:marTop w:val="0"/>
                  <w:marBottom w:val="0"/>
                  <w:divBdr>
                    <w:top w:val="none" w:sz="0" w:space="0" w:color="auto"/>
                    <w:left w:val="none" w:sz="0" w:space="0" w:color="auto"/>
                    <w:bottom w:val="none" w:sz="0" w:space="0" w:color="auto"/>
                    <w:right w:val="none" w:sz="0" w:space="0" w:color="auto"/>
                  </w:divBdr>
                  <w:divsChild>
                    <w:div w:id="2005745536">
                      <w:marLeft w:val="0"/>
                      <w:marRight w:val="0"/>
                      <w:marTop w:val="0"/>
                      <w:marBottom w:val="0"/>
                      <w:divBdr>
                        <w:top w:val="none" w:sz="0" w:space="0" w:color="auto"/>
                        <w:left w:val="none" w:sz="0" w:space="0" w:color="auto"/>
                        <w:bottom w:val="none" w:sz="0" w:space="0" w:color="auto"/>
                        <w:right w:val="none" w:sz="0" w:space="0" w:color="auto"/>
                      </w:divBdr>
                    </w:div>
                  </w:divsChild>
                </w:div>
                <w:div w:id="2083991489">
                  <w:marLeft w:val="0"/>
                  <w:marRight w:val="0"/>
                  <w:marTop w:val="0"/>
                  <w:marBottom w:val="0"/>
                  <w:divBdr>
                    <w:top w:val="none" w:sz="0" w:space="0" w:color="auto"/>
                    <w:left w:val="none" w:sz="0" w:space="0" w:color="auto"/>
                    <w:bottom w:val="none" w:sz="0" w:space="0" w:color="auto"/>
                    <w:right w:val="none" w:sz="0" w:space="0" w:color="auto"/>
                  </w:divBdr>
                  <w:divsChild>
                    <w:div w:id="135488946">
                      <w:marLeft w:val="0"/>
                      <w:marRight w:val="0"/>
                      <w:marTop w:val="0"/>
                      <w:marBottom w:val="0"/>
                      <w:divBdr>
                        <w:top w:val="none" w:sz="0" w:space="0" w:color="auto"/>
                        <w:left w:val="none" w:sz="0" w:space="0" w:color="auto"/>
                        <w:bottom w:val="none" w:sz="0" w:space="0" w:color="auto"/>
                        <w:right w:val="none" w:sz="0" w:space="0" w:color="auto"/>
                      </w:divBdr>
                    </w:div>
                  </w:divsChild>
                </w:div>
                <w:div w:id="1125658398">
                  <w:marLeft w:val="0"/>
                  <w:marRight w:val="0"/>
                  <w:marTop w:val="0"/>
                  <w:marBottom w:val="0"/>
                  <w:divBdr>
                    <w:top w:val="none" w:sz="0" w:space="0" w:color="auto"/>
                    <w:left w:val="none" w:sz="0" w:space="0" w:color="auto"/>
                    <w:bottom w:val="none" w:sz="0" w:space="0" w:color="auto"/>
                    <w:right w:val="none" w:sz="0" w:space="0" w:color="auto"/>
                  </w:divBdr>
                  <w:divsChild>
                    <w:div w:id="444889041">
                      <w:marLeft w:val="0"/>
                      <w:marRight w:val="0"/>
                      <w:marTop w:val="0"/>
                      <w:marBottom w:val="0"/>
                      <w:divBdr>
                        <w:top w:val="none" w:sz="0" w:space="0" w:color="auto"/>
                        <w:left w:val="none" w:sz="0" w:space="0" w:color="auto"/>
                        <w:bottom w:val="none" w:sz="0" w:space="0" w:color="auto"/>
                        <w:right w:val="none" w:sz="0" w:space="0" w:color="auto"/>
                      </w:divBdr>
                    </w:div>
                  </w:divsChild>
                </w:div>
                <w:div w:id="1274970">
                  <w:marLeft w:val="0"/>
                  <w:marRight w:val="0"/>
                  <w:marTop w:val="0"/>
                  <w:marBottom w:val="0"/>
                  <w:divBdr>
                    <w:top w:val="none" w:sz="0" w:space="0" w:color="auto"/>
                    <w:left w:val="none" w:sz="0" w:space="0" w:color="auto"/>
                    <w:bottom w:val="none" w:sz="0" w:space="0" w:color="auto"/>
                    <w:right w:val="none" w:sz="0" w:space="0" w:color="auto"/>
                  </w:divBdr>
                  <w:divsChild>
                    <w:div w:id="6694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6920">
          <w:marLeft w:val="0"/>
          <w:marRight w:val="0"/>
          <w:marTop w:val="0"/>
          <w:marBottom w:val="0"/>
          <w:divBdr>
            <w:top w:val="none" w:sz="0" w:space="0" w:color="auto"/>
            <w:left w:val="none" w:sz="0" w:space="0" w:color="auto"/>
            <w:bottom w:val="none" w:sz="0" w:space="0" w:color="auto"/>
            <w:right w:val="none" w:sz="0" w:space="0" w:color="auto"/>
          </w:divBdr>
        </w:div>
        <w:div w:id="1219130045">
          <w:marLeft w:val="0"/>
          <w:marRight w:val="0"/>
          <w:marTop w:val="0"/>
          <w:marBottom w:val="0"/>
          <w:divBdr>
            <w:top w:val="none" w:sz="0" w:space="0" w:color="auto"/>
            <w:left w:val="none" w:sz="0" w:space="0" w:color="auto"/>
            <w:bottom w:val="none" w:sz="0" w:space="0" w:color="auto"/>
            <w:right w:val="none" w:sz="0" w:space="0" w:color="auto"/>
          </w:divBdr>
        </w:div>
        <w:div w:id="1560631773">
          <w:marLeft w:val="0"/>
          <w:marRight w:val="0"/>
          <w:marTop w:val="0"/>
          <w:marBottom w:val="0"/>
          <w:divBdr>
            <w:top w:val="none" w:sz="0" w:space="0" w:color="auto"/>
            <w:left w:val="none" w:sz="0" w:space="0" w:color="auto"/>
            <w:bottom w:val="none" w:sz="0" w:space="0" w:color="auto"/>
            <w:right w:val="none" w:sz="0" w:space="0" w:color="auto"/>
          </w:divBdr>
        </w:div>
        <w:div w:id="628126789">
          <w:marLeft w:val="0"/>
          <w:marRight w:val="0"/>
          <w:marTop w:val="0"/>
          <w:marBottom w:val="0"/>
          <w:divBdr>
            <w:top w:val="none" w:sz="0" w:space="0" w:color="auto"/>
            <w:left w:val="none" w:sz="0" w:space="0" w:color="auto"/>
            <w:bottom w:val="none" w:sz="0" w:space="0" w:color="auto"/>
            <w:right w:val="none" w:sz="0" w:space="0" w:color="auto"/>
          </w:divBdr>
          <w:divsChild>
            <w:div w:id="1194074342">
              <w:marLeft w:val="-75"/>
              <w:marRight w:val="0"/>
              <w:marTop w:val="30"/>
              <w:marBottom w:val="30"/>
              <w:divBdr>
                <w:top w:val="none" w:sz="0" w:space="0" w:color="auto"/>
                <w:left w:val="none" w:sz="0" w:space="0" w:color="auto"/>
                <w:bottom w:val="none" w:sz="0" w:space="0" w:color="auto"/>
                <w:right w:val="none" w:sz="0" w:space="0" w:color="auto"/>
              </w:divBdr>
              <w:divsChild>
                <w:div w:id="1795367959">
                  <w:marLeft w:val="0"/>
                  <w:marRight w:val="0"/>
                  <w:marTop w:val="0"/>
                  <w:marBottom w:val="0"/>
                  <w:divBdr>
                    <w:top w:val="none" w:sz="0" w:space="0" w:color="auto"/>
                    <w:left w:val="none" w:sz="0" w:space="0" w:color="auto"/>
                    <w:bottom w:val="none" w:sz="0" w:space="0" w:color="auto"/>
                    <w:right w:val="none" w:sz="0" w:space="0" w:color="auto"/>
                  </w:divBdr>
                  <w:divsChild>
                    <w:div w:id="115831065">
                      <w:marLeft w:val="0"/>
                      <w:marRight w:val="0"/>
                      <w:marTop w:val="0"/>
                      <w:marBottom w:val="0"/>
                      <w:divBdr>
                        <w:top w:val="none" w:sz="0" w:space="0" w:color="auto"/>
                        <w:left w:val="none" w:sz="0" w:space="0" w:color="auto"/>
                        <w:bottom w:val="none" w:sz="0" w:space="0" w:color="auto"/>
                        <w:right w:val="none" w:sz="0" w:space="0" w:color="auto"/>
                      </w:divBdr>
                    </w:div>
                  </w:divsChild>
                </w:div>
                <w:div w:id="440612300">
                  <w:marLeft w:val="0"/>
                  <w:marRight w:val="0"/>
                  <w:marTop w:val="0"/>
                  <w:marBottom w:val="0"/>
                  <w:divBdr>
                    <w:top w:val="none" w:sz="0" w:space="0" w:color="auto"/>
                    <w:left w:val="none" w:sz="0" w:space="0" w:color="auto"/>
                    <w:bottom w:val="none" w:sz="0" w:space="0" w:color="auto"/>
                    <w:right w:val="none" w:sz="0" w:space="0" w:color="auto"/>
                  </w:divBdr>
                  <w:divsChild>
                    <w:div w:id="144049009">
                      <w:marLeft w:val="0"/>
                      <w:marRight w:val="0"/>
                      <w:marTop w:val="0"/>
                      <w:marBottom w:val="0"/>
                      <w:divBdr>
                        <w:top w:val="none" w:sz="0" w:space="0" w:color="auto"/>
                        <w:left w:val="none" w:sz="0" w:space="0" w:color="auto"/>
                        <w:bottom w:val="none" w:sz="0" w:space="0" w:color="auto"/>
                        <w:right w:val="none" w:sz="0" w:space="0" w:color="auto"/>
                      </w:divBdr>
                    </w:div>
                  </w:divsChild>
                </w:div>
                <w:div w:id="650520498">
                  <w:marLeft w:val="0"/>
                  <w:marRight w:val="0"/>
                  <w:marTop w:val="0"/>
                  <w:marBottom w:val="0"/>
                  <w:divBdr>
                    <w:top w:val="none" w:sz="0" w:space="0" w:color="auto"/>
                    <w:left w:val="none" w:sz="0" w:space="0" w:color="auto"/>
                    <w:bottom w:val="none" w:sz="0" w:space="0" w:color="auto"/>
                    <w:right w:val="none" w:sz="0" w:space="0" w:color="auto"/>
                  </w:divBdr>
                  <w:divsChild>
                    <w:div w:id="1663267032">
                      <w:marLeft w:val="0"/>
                      <w:marRight w:val="0"/>
                      <w:marTop w:val="0"/>
                      <w:marBottom w:val="0"/>
                      <w:divBdr>
                        <w:top w:val="none" w:sz="0" w:space="0" w:color="auto"/>
                        <w:left w:val="none" w:sz="0" w:space="0" w:color="auto"/>
                        <w:bottom w:val="none" w:sz="0" w:space="0" w:color="auto"/>
                        <w:right w:val="none" w:sz="0" w:space="0" w:color="auto"/>
                      </w:divBdr>
                    </w:div>
                  </w:divsChild>
                </w:div>
                <w:div w:id="139536678">
                  <w:marLeft w:val="0"/>
                  <w:marRight w:val="0"/>
                  <w:marTop w:val="0"/>
                  <w:marBottom w:val="0"/>
                  <w:divBdr>
                    <w:top w:val="none" w:sz="0" w:space="0" w:color="auto"/>
                    <w:left w:val="none" w:sz="0" w:space="0" w:color="auto"/>
                    <w:bottom w:val="none" w:sz="0" w:space="0" w:color="auto"/>
                    <w:right w:val="none" w:sz="0" w:space="0" w:color="auto"/>
                  </w:divBdr>
                  <w:divsChild>
                    <w:div w:id="1857503884">
                      <w:marLeft w:val="0"/>
                      <w:marRight w:val="0"/>
                      <w:marTop w:val="0"/>
                      <w:marBottom w:val="0"/>
                      <w:divBdr>
                        <w:top w:val="none" w:sz="0" w:space="0" w:color="auto"/>
                        <w:left w:val="none" w:sz="0" w:space="0" w:color="auto"/>
                        <w:bottom w:val="none" w:sz="0" w:space="0" w:color="auto"/>
                        <w:right w:val="none" w:sz="0" w:space="0" w:color="auto"/>
                      </w:divBdr>
                    </w:div>
                  </w:divsChild>
                </w:div>
                <w:div w:id="1416391218">
                  <w:marLeft w:val="0"/>
                  <w:marRight w:val="0"/>
                  <w:marTop w:val="0"/>
                  <w:marBottom w:val="0"/>
                  <w:divBdr>
                    <w:top w:val="none" w:sz="0" w:space="0" w:color="auto"/>
                    <w:left w:val="none" w:sz="0" w:space="0" w:color="auto"/>
                    <w:bottom w:val="none" w:sz="0" w:space="0" w:color="auto"/>
                    <w:right w:val="none" w:sz="0" w:space="0" w:color="auto"/>
                  </w:divBdr>
                  <w:divsChild>
                    <w:div w:id="403719435">
                      <w:marLeft w:val="0"/>
                      <w:marRight w:val="0"/>
                      <w:marTop w:val="0"/>
                      <w:marBottom w:val="0"/>
                      <w:divBdr>
                        <w:top w:val="none" w:sz="0" w:space="0" w:color="auto"/>
                        <w:left w:val="none" w:sz="0" w:space="0" w:color="auto"/>
                        <w:bottom w:val="none" w:sz="0" w:space="0" w:color="auto"/>
                        <w:right w:val="none" w:sz="0" w:space="0" w:color="auto"/>
                      </w:divBdr>
                    </w:div>
                  </w:divsChild>
                </w:div>
                <w:div w:id="2003384827">
                  <w:marLeft w:val="0"/>
                  <w:marRight w:val="0"/>
                  <w:marTop w:val="0"/>
                  <w:marBottom w:val="0"/>
                  <w:divBdr>
                    <w:top w:val="none" w:sz="0" w:space="0" w:color="auto"/>
                    <w:left w:val="none" w:sz="0" w:space="0" w:color="auto"/>
                    <w:bottom w:val="none" w:sz="0" w:space="0" w:color="auto"/>
                    <w:right w:val="none" w:sz="0" w:space="0" w:color="auto"/>
                  </w:divBdr>
                  <w:divsChild>
                    <w:div w:id="425661991">
                      <w:marLeft w:val="0"/>
                      <w:marRight w:val="0"/>
                      <w:marTop w:val="0"/>
                      <w:marBottom w:val="0"/>
                      <w:divBdr>
                        <w:top w:val="none" w:sz="0" w:space="0" w:color="auto"/>
                        <w:left w:val="none" w:sz="0" w:space="0" w:color="auto"/>
                        <w:bottom w:val="none" w:sz="0" w:space="0" w:color="auto"/>
                        <w:right w:val="none" w:sz="0" w:space="0" w:color="auto"/>
                      </w:divBdr>
                    </w:div>
                  </w:divsChild>
                </w:div>
                <w:div w:id="2054965838">
                  <w:marLeft w:val="0"/>
                  <w:marRight w:val="0"/>
                  <w:marTop w:val="0"/>
                  <w:marBottom w:val="0"/>
                  <w:divBdr>
                    <w:top w:val="none" w:sz="0" w:space="0" w:color="auto"/>
                    <w:left w:val="none" w:sz="0" w:space="0" w:color="auto"/>
                    <w:bottom w:val="none" w:sz="0" w:space="0" w:color="auto"/>
                    <w:right w:val="none" w:sz="0" w:space="0" w:color="auto"/>
                  </w:divBdr>
                  <w:divsChild>
                    <w:div w:id="1588268179">
                      <w:marLeft w:val="0"/>
                      <w:marRight w:val="0"/>
                      <w:marTop w:val="0"/>
                      <w:marBottom w:val="0"/>
                      <w:divBdr>
                        <w:top w:val="none" w:sz="0" w:space="0" w:color="auto"/>
                        <w:left w:val="none" w:sz="0" w:space="0" w:color="auto"/>
                        <w:bottom w:val="none" w:sz="0" w:space="0" w:color="auto"/>
                        <w:right w:val="none" w:sz="0" w:space="0" w:color="auto"/>
                      </w:divBdr>
                    </w:div>
                  </w:divsChild>
                </w:div>
                <w:div w:id="1467435919">
                  <w:marLeft w:val="0"/>
                  <w:marRight w:val="0"/>
                  <w:marTop w:val="0"/>
                  <w:marBottom w:val="0"/>
                  <w:divBdr>
                    <w:top w:val="none" w:sz="0" w:space="0" w:color="auto"/>
                    <w:left w:val="none" w:sz="0" w:space="0" w:color="auto"/>
                    <w:bottom w:val="none" w:sz="0" w:space="0" w:color="auto"/>
                    <w:right w:val="none" w:sz="0" w:space="0" w:color="auto"/>
                  </w:divBdr>
                  <w:divsChild>
                    <w:div w:id="584800107">
                      <w:marLeft w:val="0"/>
                      <w:marRight w:val="0"/>
                      <w:marTop w:val="0"/>
                      <w:marBottom w:val="0"/>
                      <w:divBdr>
                        <w:top w:val="none" w:sz="0" w:space="0" w:color="auto"/>
                        <w:left w:val="none" w:sz="0" w:space="0" w:color="auto"/>
                        <w:bottom w:val="none" w:sz="0" w:space="0" w:color="auto"/>
                        <w:right w:val="none" w:sz="0" w:space="0" w:color="auto"/>
                      </w:divBdr>
                    </w:div>
                  </w:divsChild>
                </w:div>
                <w:div w:id="903487750">
                  <w:marLeft w:val="0"/>
                  <w:marRight w:val="0"/>
                  <w:marTop w:val="0"/>
                  <w:marBottom w:val="0"/>
                  <w:divBdr>
                    <w:top w:val="none" w:sz="0" w:space="0" w:color="auto"/>
                    <w:left w:val="none" w:sz="0" w:space="0" w:color="auto"/>
                    <w:bottom w:val="none" w:sz="0" w:space="0" w:color="auto"/>
                    <w:right w:val="none" w:sz="0" w:space="0" w:color="auto"/>
                  </w:divBdr>
                  <w:divsChild>
                    <w:div w:id="1556967770">
                      <w:marLeft w:val="0"/>
                      <w:marRight w:val="0"/>
                      <w:marTop w:val="0"/>
                      <w:marBottom w:val="0"/>
                      <w:divBdr>
                        <w:top w:val="none" w:sz="0" w:space="0" w:color="auto"/>
                        <w:left w:val="none" w:sz="0" w:space="0" w:color="auto"/>
                        <w:bottom w:val="none" w:sz="0" w:space="0" w:color="auto"/>
                        <w:right w:val="none" w:sz="0" w:space="0" w:color="auto"/>
                      </w:divBdr>
                    </w:div>
                  </w:divsChild>
                </w:div>
                <w:div w:id="1355155097">
                  <w:marLeft w:val="0"/>
                  <w:marRight w:val="0"/>
                  <w:marTop w:val="0"/>
                  <w:marBottom w:val="0"/>
                  <w:divBdr>
                    <w:top w:val="none" w:sz="0" w:space="0" w:color="auto"/>
                    <w:left w:val="none" w:sz="0" w:space="0" w:color="auto"/>
                    <w:bottom w:val="none" w:sz="0" w:space="0" w:color="auto"/>
                    <w:right w:val="none" w:sz="0" w:space="0" w:color="auto"/>
                  </w:divBdr>
                  <w:divsChild>
                    <w:div w:id="15280176">
                      <w:marLeft w:val="0"/>
                      <w:marRight w:val="0"/>
                      <w:marTop w:val="0"/>
                      <w:marBottom w:val="0"/>
                      <w:divBdr>
                        <w:top w:val="none" w:sz="0" w:space="0" w:color="auto"/>
                        <w:left w:val="none" w:sz="0" w:space="0" w:color="auto"/>
                        <w:bottom w:val="none" w:sz="0" w:space="0" w:color="auto"/>
                        <w:right w:val="none" w:sz="0" w:space="0" w:color="auto"/>
                      </w:divBdr>
                    </w:div>
                  </w:divsChild>
                </w:div>
                <w:div w:id="1953705343">
                  <w:marLeft w:val="0"/>
                  <w:marRight w:val="0"/>
                  <w:marTop w:val="0"/>
                  <w:marBottom w:val="0"/>
                  <w:divBdr>
                    <w:top w:val="none" w:sz="0" w:space="0" w:color="auto"/>
                    <w:left w:val="none" w:sz="0" w:space="0" w:color="auto"/>
                    <w:bottom w:val="none" w:sz="0" w:space="0" w:color="auto"/>
                    <w:right w:val="none" w:sz="0" w:space="0" w:color="auto"/>
                  </w:divBdr>
                  <w:divsChild>
                    <w:div w:id="634719352">
                      <w:marLeft w:val="0"/>
                      <w:marRight w:val="0"/>
                      <w:marTop w:val="0"/>
                      <w:marBottom w:val="0"/>
                      <w:divBdr>
                        <w:top w:val="none" w:sz="0" w:space="0" w:color="auto"/>
                        <w:left w:val="none" w:sz="0" w:space="0" w:color="auto"/>
                        <w:bottom w:val="none" w:sz="0" w:space="0" w:color="auto"/>
                        <w:right w:val="none" w:sz="0" w:space="0" w:color="auto"/>
                      </w:divBdr>
                    </w:div>
                  </w:divsChild>
                </w:div>
                <w:div w:id="551382318">
                  <w:marLeft w:val="0"/>
                  <w:marRight w:val="0"/>
                  <w:marTop w:val="0"/>
                  <w:marBottom w:val="0"/>
                  <w:divBdr>
                    <w:top w:val="none" w:sz="0" w:space="0" w:color="auto"/>
                    <w:left w:val="none" w:sz="0" w:space="0" w:color="auto"/>
                    <w:bottom w:val="none" w:sz="0" w:space="0" w:color="auto"/>
                    <w:right w:val="none" w:sz="0" w:space="0" w:color="auto"/>
                  </w:divBdr>
                  <w:divsChild>
                    <w:div w:id="1792895888">
                      <w:marLeft w:val="0"/>
                      <w:marRight w:val="0"/>
                      <w:marTop w:val="0"/>
                      <w:marBottom w:val="0"/>
                      <w:divBdr>
                        <w:top w:val="none" w:sz="0" w:space="0" w:color="auto"/>
                        <w:left w:val="none" w:sz="0" w:space="0" w:color="auto"/>
                        <w:bottom w:val="none" w:sz="0" w:space="0" w:color="auto"/>
                        <w:right w:val="none" w:sz="0" w:space="0" w:color="auto"/>
                      </w:divBdr>
                    </w:div>
                  </w:divsChild>
                </w:div>
                <w:div w:id="1176964433">
                  <w:marLeft w:val="0"/>
                  <w:marRight w:val="0"/>
                  <w:marTop w:val="0"/>
                  <w:marBottom w:val="0"/>
                  <w:divBdr>
                    <w:top w:val="none" w:sz="0" w:space="0" w:color="auto"/>
                    <w:left w:val="none" w:sz="0" w:space="0" w:color="auto"/>
                    <w:bottom w:val="none" w:sz="0" w:space="0" w:color="auto"/>
                    <w:right w:val="none" w:sz="0" w:space="0" w:color="auto"/>
                  </w:divBdr>
                  <w:divsChild>
                    <w:div w:id="677073851">
                      <w:marLeft w:val="0"/>
                      <w:marRight w:val="0"/>
                      <w:marTop w:val="0"/>
                      <w:marBottom w:val="0"/>
                      <w:divBdr>
                        <w:top w:val="none" w:sz="0" w:space="0" w:color="auto"/>
                        <w:left w:val="none" w:sz="0" w:space="0" w:color="auto"/>
                        <w:bottom w:val="none" w:sz="0" w:space="0" w:color="auto"/>
                        <w:right w:val="none" w:sz="0" w:space="0" w:color="auto"/>
                      </w:divBdr>
                    </w:div>
                  </w:divsChild>
                </w:div>
                <w:div w:id="1485507193">
                  <w:marLeft w:val="0"/>
                  <w:marRight w:val="0"/>
                  <w:marTop w:val="0"/>
                  <w:marBottom w:val="0"/>
                  <w:divBdr>
                    <w:top w:val="none" w:sz="0" w:space="0" w:color="auto"/>
                    <w:left w:val="none" w:sz="0" w:space="0" w:color="auto"/>
                    <w:bottom w:val="none" w:sz="0" w:space="0" w:color="auto"/>
                    <w:right w:val="none" w:sz="0" w:space="0" w:color="auto"/>
                  </w:divBdr>
                  <w:divsChild>
                    <w:div w:id="1840803536">
                      <w:marLeft w:val="0"/>
                      <w:marRight w:val="0"/>
                      <w:marTop w:val="0"/>
                      <w:marBottom w:val="0"/>
                      <w:divBdr>
                        <w:top w:val="none" w:sz="0" w:space="0" w:color="auto"/>
                        <w:left w:val="none" w:sz="0" w:space="0" w:color="auto"/>
                        <w:bottom w:val="none" w:sz="0" w:space="0" w:color="auto"/>
                        <w:right w:val="none" w:sz="0" w:space="0" w:color="auto"/>
                      </w:divBdr>
                    </w:div>
                  </w:divsChild>
                </w:div>
                <w:div w:id="803235031">
                  <w:marLeft w:val="0"/>
                  <w:marRight w:val="0"/>
                  <w:marTop w:val="0"/>
                  <w:marBottom w:val="0"/>
                  <w:divBdr>
                    <w:top w:val="none" w:sz="0" w:space="0" w:color="auto"/>
                    <w:left w:val="none" w:sz="0" w:space="0" w:color="auto"/>
                    <w:bottom w:val="none" w:sz="0" w:space="0" w:color="auto"/>
                    <w:right w:val="none" w:sz="0" w:space="0" w:color="auto"/>
                  </w:divBdr>
                  <w:divsChild>
                    <w:div w:id="1063219386">
                      <w:marLeft w:val="0"/>
                      <w:marRight w:val="0"/>
                      <w:marTop w:val="0"/>
                      <w:marBottom w:val="0"/>
                      <w:divBdr>
                        <w:top w:val="none" w:sz="0" w:space="0" w:color="auto"/>
                        <w:left w:val="none" w:sz="0" w:space="0" w:color="auto"/>
                        <w:bottom w:val="none" w:sz="0" w:space="0" w:color="auto"/>
                        <w:right w:val="none" w:sz="0" w:space="0" w:color="auto"/>
                      </w:divBdr>
                    </w:div>
                  </w:divsChild>
                </w:div>
                <w:div w:id="616915525">
                  <w:marLeft w:val="0"/>
                  <w:marRight w:val="0"/>
                  <w:marTop w:val="0"/>
                  <w:marBottom w:val="0"/>
                  <w:divBdr>
                    <w:top w:val="none" w:sz="0" w:space="0" w:color="auto"/>
                    <w:left w:val="none" w:sz="0" w:space="0" w:color="auto"/>
                    <w:bottom w:val="none" w:sz="0" w:space="0" w:color="auto"/>
                    <w:right w:val="none" w:sz="0" w:space="0" w:color="auto"/>
                  </w:divBdr>
                  <w:divsChild>
                    <w:div w:id="87630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136327">
          <w:marLeft w:val="0"/>
          <w:marRight w:val="0"/>
          <w:marTop w:val="0"/>
          <w:marBottom w:val="0"/>
          <w:divBdr>
            <w:top w:val="none" w:sz="0" w:space="0" w:color="auto"/>
            <w:left w:val="none" w:sz="0" w:space="0" w:color="auto"/>
            <w:bottom w:val="none" w:sz="0" w:space="0" w:color="auto"/>
            <w:right w:val="none" w:sz="0" w:space="0" w:color="auto"/>
          </w:divBdr>
          <w:divsChild>
            <w:div w:id="869416327">
              <w:marLeft w:val="0"/>
              <w:marRight w:val="0"/>
              <w:marTop w:val="0"/>
              <w:marBottom w:val="0"/>
              <w:divBdr>
                <w:top w:val="none" w:sz="0" w:space="0" w:color="auto"/>
                <w:left w:val="none" w:sz="0" w:space="0" w:color="auto"/>
                <w:bottom w:val="none" w:sz="0" w:space="0" w:color="auto"/>
                <w:right w:val="none" w:sz="0" w:space="0" w:color="auto"/>
              </w:divBdr>
            </w:div>
            <w:div w:id="1850171181">
              <w:marLeft w:val="0"/>
              <w:marRight w:val="0"/>
              <w:marTop w:val="0"/>
              <w:marBottom w:val="0"/>
              <w:divBdr>
                <w:top w:val="none" w:sz="0" w:space="0" w:color="auto"/>
                <w:left w:val="none" w:sz="0" w:space="0" w:color="auto"/>
                <w:bottom w:val="none" w:sz="0" w:space="0" w:color="auto"/>
                <w:right w:val="none" w:sz="0" w:space="0" w:color="auto"/>
              </w:divBdr>
            </w:div>
            <w:div w:id="1706632496">
              <w:marLeft w:val="0"/>
              <w:marRight w:val="0"/>
              <w:marTop w:val="0"/>
              <w:marBottom w:val="0"/>
              <w:divBdr>
                <w:top w:val="none" w:sz="0" w:space="0" w:color="auto"/>
                <w:left w:val="none" w:sz="0" w:space="0" w:color="auto"/>
                <w:bottom w:val="none" w:sz="0" w:space="0" w:color="auto"/>
                <w:right w:val="none" w:sz="0" w:space="0" w:color="auto"/>
              </w:divBdr>
            </w:div>
            <w:div w:id="1015840375">
              <w:marLeft w:val="0"/>
              <w:marRight w:val="0"/>
              <w:marTop w:val="0"/>
              <w:marBottom w:val="0"/>
              <w:divBdr>
                <w:top w:val="none" w:sz="0" w:space="0" w:color="auto"/>
                <w:left w:val="none" w:sz="0" w:space="0" w:color="auto"/>
                <w:bottom w:val="none" w:sz="0" w:space="0" w:color="auto"/>
                <w:right w:val="none" w:sz="0" w:space="0" w:color="auto"/>
              </w:divBdr>
            </w:div>
            <w:div w:id="1420984129">
              <w:marLeft w:val="0"/>
              <w:marRight w:val="0"/>
              <w:marTop w:val="0"/>
              <w:marBottom w:val="0"/>
              <w:divBdr>
                <w:top w:val="none" w:sz="0" w:space="0" w:color="auto"/>
                <w:left w:val="none" w:sz="0" w:space="0" w:color="auto"/>
                <w:bottom w:val="none" w:sz="0" w:space="0" w:color="auto"/>
                <w:right w:val="none" w:sz="0" w:space="0" w:color="auto"/>
              </w:divBdr>
            </w:div>
            <w:div w:id="91366244">
              <w:marLeft w:val="0"/>
              <w:marRight w:val="0"/>
              <w:marTop w:val="0"/>
              <w:marBottom w:val="0"/>
              <w:divBdr>
                <w:top w:val="none" w:sz="0" w:space="0" w:color="auto"/>
                <w:left w:val="none" w:sz="0" w:space="0" w:color="auto"/>
                <w:bottom w:val="none" w:sz="0" w:space="0" w:color="auto"/>
                <w:right w:val="none" w:sz="0" w:space="0" w:color="auto"/>
              </w:divBdr>
            </w:div>
            <w:div w:id="1893227717">
              <w:marLeft w:val="0"/>
              <w:marRight w:val="0"/>
              <w:marTop w:val="0"/>
              <w:marBottom w:val="0"/>
              <w:divBdr>
                <w:top w:val="none" w:sz="0" w:space="0" w:color="auto"/>
                <w:left w:val="none" w:sz="0" w:space="0" w:color="auto"/>
                <w:bottom w:val="none" w:sz="0" w:space="0" w:color="auto"/>
                <w:right w:val="none" w:sz="0" w:space="0" w:color="auto"/>
              </w:divBdr>
            </w:div>
          </w:divsChild>
        </w:div>
        <w:div w:id="1403680077">
          <w:marLeft w:val="0"/>
          <w:marRight w:val="0"/>
          <w:marTop w:val="0"/>
          <w:marBottom w:val="0"/>
          <w:divBdr>
            <w:top w:val="none" w:sz="0" w:space="0" w:color="auto"/>
            <w:left w:val="none" w:sz="0" w:space="0" w:color="auto"/>
            <w:bottom w:val="none" w:sz="0" w:space="0" w:color="auto"/>
            <w:right w:val="none" w:sz="0" w:space="0" w:color="auto"/>
          </w:divBdr>
          <w:divsChild>
            <w:div w:id="1173494227">
              <w:marLeft w:val="-75"/>
              <w:marRight w:val="0"/>
              <w:marTop w:val="30"/>
              <w:marBottom w:val="30"/>
              <w:divBdr>
                <w:top w:val="none" w:sz="0" w:space="0" w:color="auto"/>
                <w:left w:val="none" w:sz="0" w:space="0" w:color="auto"/>
                <w:bottom w:val="none" w:sz="0" w:space="0" w:color="auto"/>
                <w:right w:val="none" w:sz="0" w:space="0" w:color="auto"/>
              </w:divBdr>
              <w:divsChild>
                <w:div w:id="1094321904">
                  <w:marLeft w:val="0"/>
                  <w:marRight w:val="0"/>
                  <w:marTop w:val="0"/>
                  <w:marBottom w:val="0"/>
                  <w:divBdr>
                    <w:top w:val="none" w:sz="0" w:space="0" w:color="auto"/>
                    <w:left w:val="none" w:sz="0" w:space="0" w:color="auto"/>
                    <w:bottom w:val="none" w:sz="0" w:space="0" w:color="auto"/>
                    <w:right w:val="none" w:sz="0" w:space="0" w:color="auto"/>
                  </w:divBdr>
                  <w:divsChild>
                    <w:div w:id="201478361">
                      <w:marLeft w:val="0"/>
                      <w:marRight w:val="0"/>
                      <w:marTop w:val="0"/>
                      <w:marBottom w:val="0"/>
                      <w:divBdr>
                        <w:top w:val="none" w:sz="0" w:space="0" w:color="auto"/>
                        <w:left w:val="none" w:sz="0" w:space="0" w:color="auto"/>
                        <w:bottom w:val="none" w:sz="0" w:space="0" w:color="auto"/>
                        <w:right w:val="none" w:sz="0" w:space="0" w:color="auto"/>
                      </w:divBdr>
                    </w:div>
                  </w:divsChild>
                </w:div>
                <w:div w:id="1923180314">
                  <w:marLeft w:val="0"/>
                  <w:marRight w:val="0"/>
                  <w:marTop w:val="0"/>
                  <w:marBottom w:val="0"/>
                  <w:divBdr>
                    <w:top w:val="none" w:sz="0" w:space="0" w:color="auto"/>
                    <w:left w:val="none" w:sz="0" w:space="0" w:color="auto"/>
                    <w:bottom w:val="none" w:sz="0" w:space="0" w:color="auto"/>
                    <w:right w:val="none" w:sz="0" w:space="0" w:color="auto"/>
                  </w:divBdr>
                  <w:divsChild>
                    <w:div w:id="500002887">
                      <w:marLeft w:val="0"/>
                      <w:marRight w:val="0"/>
                      <w:marTop w:val="0"/>
                      <w:marBottom w:val="0"/>
                      <w:divBdr>
                        <w:top w:val="none" w:sz="0" w:space="0" w:color="auto"/>
                        <w:left w:val="none" w:sz="0" w:space="0" w:color="auto"/>
                        <w:bottom w:val="none" w:sz="0" w:space="0" w:color="auto"/>
                        <w:right w:val="none" w:sz="0" w:space="0" w:color="auto"/>
                      </w:divBdr>
                    </w:div>
                  </w:divsChild>
                </w:div>
                <w:div w:id="34625883">
                  <w:marLeft w:val="0"/>
                  <w:marRight w:val="0"/>
                  <w:marTop w:val="0"/>
                  <w:marBottom w:val="0"/>
                  <w:divBdr>
                    <w:top w:val="none" w:sz="0" w:space="0" w:color="auto"/>
                    <w:left w:val="none" w:sz="0" w:space="0" w:color="auto"/>
                    <w:bottom w:val="none" w:sz="0" w:space="0" w:color="auto"/>
                    <w:right w:val="none" w:sz="0" w:space="0" w:color="auto"/>
                  </w:divBdr>
                  <w:divsChild>
                    <w:div w:id="1754542827">
                      <w:marLeft w:val="0"/>
                      <w:marRight w:val="0"/>
                      <w:marTop w:val="0"/>
                      <w:marBottom w:val="0"/>
                      <w:divBdr>
                        <w:top w:val="none" w:sz="0" w:space="0" w:color="auto"/>
                        <w:left w:val="none" w:sz="0" w:space="0" w:color="auto"/>
                        <w:bottom w:val="none" w:sz="0" w:space="0" w:color="auto"/>
                        <w:right w:val="none" w:sz="0" w:space="0" w:color="auto"/>
                      </w:divBdr>
                    </w:div>
                  </w:divsChild>
                </w:div>
                <w:div w:id="738022257">
                  <w:marLeft w:val="0"/>
                  <w:marRight w:val="0"/>
                  <w:marTop w:val="0"/>
                  <w:marBottom w:val="0"/>
                  <w:divBdr>
                    <w:top w:val="none" w:sz="0" w:space="0" w:color="auto"/>
                    <w:left w:val="none" w:sz="0" w:space="0" w:color="auto"/>
                    <w:bottom w:val="none" w:sz="0" w:space="0" w:color="auto"/>
                    <w:right w:val="none" w:sz="0" w:space="0" w:color="auto"/>
                  </w:divBdr>
                  <w:divsChild>
                    <w:div w:id="580411296">
                      <w:marLeft w:val="0"/>
                      <w:marRight w:val="0"/>
                      <w:marTop w:val="0"/>
                      <w:marBottom w:val="0"/>
                      <w:divBdr>
                        <w:top w:val="none" w:sz="0" w:space="0" w:color="auto"/>
                        <w:left w:val="none" w:sz="0" w:space="0" w:color="auto"/>
                        <w:bottom w:val="none" w:sz="0" w:space="0" w:color="auto"/>
                        <w:right w:val="none" w:sz="0" w:space="0" w:color="auto"/>
                      </w:divBdr>
                    </w:div>
                  </w:divsChild>
                </w:div>
                <w:div w:id="1420564540">
                  <w:marLeft w:val="0"/>
                  <w:marRight w:val="0"/>
                  <w:marTop w:val="0"/>
                  <w:marBottom w:val="0"/>
                  <w:divBdr>
                    <w:top w:val="none" w:sz="0" w:space="0" w:color="auto"/>
                    <w:left w:val="none" w:sz="0" w:space="0" w:color="auto"/>
                    <w:bottom w:val="none" w:sz="0" w:space="0" w:color="auto"/>
                    <w:right w:val="none" w:sz="0" w:space="0" w:color="auto"/>
                  </w:divBdr>
                  <w:divsChild>
                    <w:div w:id="1051225088">
                      <w:marLeft w:val="0"/>
                      <w:marRight w:val="0"/>
                      <w:marTop w:val="0"/>
                      <w:marBottom w:val="0"/>
                      <w:divBdr>
                        <w:top w:val="none" w:sz="0" w:space="0" w:color="auto"/>
                        <w:left w:val="none" w:sz="0" w:space="0" w:color="auto"/>
                        <w:bottom w:val="none" w:sz="0" w:space="0" w:color="auto"/>
                        <w:right w:val="none" w:sz="0" w:space="0" w:color="auto"/>
                      </w:divBdr>
                    </w:div>
                  </w:divsChild>
                </w:div>
                <w:div w:id="403526346">
                  <w:marLeft w:val="0"/>
                  <w:marRight w:val="0"/>
                  <w:marTop w:val="0"/>
                  <w:marBottom w:val="0"/>
                  <w:divBdr>
                    <w:top w:val="none" w:sz="0" w:space="0" w:color="auto"/>
                    <w:left w:val="none" w:sz="0" w:space="0" w:color="auto"/>
                    <w:bottom w:val="none" w:sz="0" w:space="0" w:color="auto"/>
                    <w:right w:val="none" w:sz="0" w:space="0" w:color="auto"/>
                  </w:divBdr>
                  <w:divsChild>
                    <w:div w:id="1413356076">
                      <w:marLeft w:val="0"/>
                      <w:marRight w:val="0"/>
                      <w:marTop w:val="0"/>
                      <w:marBottom w:val="0"/>
                      <w:divBdr>
                        <w:top w:val="none" w:sz="0" w:space="0" w:color="auto"/>
                        <w:left w:val="none" w:sz="0" w:space="0" w:color="auto"/>
                        <w:bottom w:val="none" w:sz="0" w:space="0" w:color="auto"/>
                        <w:right w:val="none" w:sz="0" w:space="0" w:color="auto"/>
                      </w:divBdr>
                    </w:div>
                  </w:divsChild>
                </w:div>
                <w:div w:id="473792271">
                  <w:marLeft w:val="0"/>
                  <w:marRight w:val="0"/>
                  <w:marTop w:val="0"/>
                  <w:marBottom w:val="0"/>
                  <w:divBdr>
                    <w:top w:val="none" w:sz="0" w:space="0" w:color="auto"/>
                    <w:left w:val="none" w:sz="0" w:space="0" w:color="auto"/>
                    <w:bottom w:val="none" w:sz="0" w:space="0" w:color="auto"/>
                    <w:right w:val="none" w:sz="0" w:space="0" w:color="auto"/>
                  </w:divBdr>
                  <w:divsChild>
                    <w:div w:id="783184848">
                      <w:marLeft w:val="0"/>
                      <w:marRight w:val="0"/>
                      <w:marTop w:val="0"/>
                      <w:marBottom w:val="0"/>
                      <w:divBdr>
                        <w:top w:val="none" w:sz="0" w:space="0" w:color="auto"/>
                        <w:left w:val="none" w:sz="0" w:space="0" w:color="auto"/>
                        <w:bottom w:val="none" w:sz="0" w:space="0" w:color="auto"/>
                        <w:right w:val="none" w:sz="0" w:space="0" w:color="auto"/>
                      </w:divBdr>
                    </w:div>
                  </w:divsChild>
                </w:div>
                <w:div w:id="1580166585">
                  <w:marLeft w:val="0"/>
                  <w:marRight w:val="0"/>
                  <w:marTop w:val="0"/>
                  <w:marBottom w:val="0"/>
                  <w:divBdr>
                    <w:top w:val="none" w:sz="0" w:space="0" w:color="auto"/>
                    <w:left w:val="none" w:sz="0" w:space="0" w:color="auto"/>
                    <w:bottom w:val="none" w:sz="0" w:space="0" w:color="auto"/>
                    <w:right w:val="none" w:sz="0" w:space="0" w:color="auto"/>
                  </w:divBdr>
                  <w:divsChild>
                    <w:div w:id="581257290">
                      <w:marLeft w:val="0"/>
                      <w:marRight w:val="0"/>
                      <w:marTop w:val="0"/>
                      <w:marBottom w:val="0"/>
                      <w:divBdr>
                        <w:top w:val="none" w:sz="0" w:space="0" w:color="auto"/>
                        <w:left w:val="none" w:sz="0" w:space="0" w:color="auto"/>
                        <w:bottom w:val="none" w:sz="0" w:space="0" w:color="auto"/>
                        <w:right w:val="none" w:sz="0" w:space="0" w:color="auto"/>
                      </w:divBdr>
                    </w:div>
                  </w:divsChild>
                </w:div>
                <w:div w:id="2124880043">
                  <w:marLeft w:val="0"/>
                  <w:marRight w:val="0"/>
                  <w:marTop w:val="0"/>
                  <w:marBottom w:val="0"/>
                  <w:divBdr>
                    <w:top w:val="none" w:sz="0" w:space="0" w:color="auto"/>
                    <w:left w:val="none" w:sz="0" w:space="0" w:color="auto"/>
                    <w:bottom w:val="none" w:sz="0" w:space="0" w:color="auto"/>
                    <w:right w:val="none" w:sz="0" w:space="0" w:color="auto"/>
                  </w:divBdr>
                  <w:divsChild>
                    <w:div w:id="228271670">
                      <w:marLeft w:val="0"/>
                      <w:marRight w:val="0"/>
                      <w:marTop w:val="0"/>
                      <w:marBottom w:val="0"/>
                      <w:divBdr>
                        <w:top w:val="none" w:sz="0" w:space="0" w:color="auto"/>
                        <w:left w:val="none" w:sz="0" w:space="0" w:color="auto"/>
                        <w:bottom w:val="none" w:sz="0" w:space="0" w:color="auto"/>
                        <w:right w:val="none" w:sz="0" w:space="0" w:color="auto"/>
                      </w:divBdr>
                    </w:div>
                  </w:divsChild>
                </w:div>
                <w:div w:id="1944454990">
                  <w:marLeft w:val="0"/>
                  <w:marRight w:val="0"/>
                  <w:marTop w:val="0"/>
                  <w:marBottom w:val="0"/>
                  <w:divBdr>
                    <w:top w:val="none" w:sz="0" w:space="0" w:color="auto"/>
                    <w:left w:val="none" w:sz="0" w:space="0" w:color="auto"/>
                    <w:bottom w:val="none" w:sz="0" w:space="0" w:color="auto"/>
                    <w:right w:val="none" w:sz="0" w:space="0" w:color="auto"/>
                  </w:divBdr>
                  <w:divsChild>
                    <w:div w:id="2028210770">
                      <w:marLeft w:val="0"/>
                      <w:marRight w:val="0"/>
                      <w:marTop w:val="0"/>
                      <w:marBottom w:val="0"/>
                      <w:divBdr>
                        <w:top w:val="none" w:sz="0" w:space="0" w:color="auto"/>
                        <w:left w:val="none" w:sz="0" w:space="0" w:color="auto"/>
                        <w:bottom w:val="none" w:sz="0" w:space="0" w:color="auto"/>
                        <w:right w:val="none" w:sz="0" w:space="0" w:color="auto"/>
                      </w:divBdr>
                    </w:div>
                  </w:divsChild>
                </w:div>
                <w:div w:id="1759978404">
                  <w:marLeft w:val="0"/>
                  <w:marRight w:val="0"/>
                  <w:marTop w:val="0"/>
                  <w:marBottom w:val="0"/>
                  <w:divBdr>
                    <w:top w:val="none" w:sz="0" w:space="0" w:color="auto"/>
                    <w:left w:val="none" w:sz="0" w:space="0" w:color="auto"/>
                    <w:bottom w:val="none" w:sz="0" w:space="0" w:color="auto"/>
                    <w:right w:val="none" w:sz="0" w:space="0" w:color="auto"/>
                  </w:divBdr>
                  <w:divsChild>
                    <w:div w:id="1068385457">
                      <w:marLeft w:val="0"/>
                      <w:marRight w:val="0"/>
                      <w:marTop w:val="0"/>
                      <w:marBottom w:val="0"/>
                      <w:divBdr>
                        <w:top w:val="none" w:sz="0" w:space="0" w:color="auto"/>
                        <w:left w:val="none" w:sz="0" w:space="0" w:color="auto"/>
                        <w:bottom w:val="none" w:sz="0" w:space="0" w:color="auto"/>
                        <w:right w:val="none" w:sz="0" w:space="0" w:color="auto"/>
                      </w:divBdr>
                    </w:div>
                  </w:divsChild>
                </w:div>
                <w:div w:id="1749378639">
                  <w:marLeft w:val="0"/>
                  <w:marRight w:val="0"/>
                  <w:marTop w:val="0"/>
                  <w:marBottom w:val="0"/>
                  <w:divBdr>
                    <w:top w:val="none" w:sz="0" w:space="0" w:color="auto"/>
                    <w:left w:val="none" w:sz="0" w:space="0" w:color="auto"/>
                    <w:bottom w:val="none" w:sz="0" w:space="0" w:color="auto"/>
                    <w:right w:val="none" w:sz="0" w:space="0" w:color="auto"/>
                  </w:divBdr>
                  <w:divsChild>
                    <w:div w:id="1831367771">
                      <w:marLeft w:val="0"/>
                      <w:marRight w:val="0"/>
                      <w:marTop w:val="0"/>
                      <w:marBottom w:val="0"/>
                      <w:divBdr>
                        <w:top w:val="none" w:sz="0" w:space="0" w:color="auto"/>
                        <w:left w:val="none" w:sz="0" w:space="0" w:color="auto"/>
                        <w:bottom w:val="none" w:sz="0" w:space="0" w:color="auto"/>
                        <w:right w:val="none" w:sz="0" w:space="0" w:color="auto"/>
                      </w:divBdr>
                    </w:div>
                  </w:divsChild>
                </w:div>
                <w:div w:id="22631425">
                  <w:marLeft w:val="0"/>
                  <w:marRight w:val="0"/>
                  <w:marTop w:val="0"/>
                  <w:marBottom w:val="0"/>
                  <w:divBdr>
                    <w:top w:val="none" w:sz="0" w:space="0" w:color="auto"/>
                    <w:left w:val="none" w:sz="0" w:space="0" w:color="auto"/>
                    <w:bottom w:val="none" w:sz="0" w:space="0" w:color="auto"/>
                    <w:right w:val="none" w:sz="0" w:space="0" w:color="auto"/>
                  </w:divBdr>
                  <w:divsChild>
                    <w:div w:id="465779840">
                      <w:marLeft w:val="0"/>
                      <w:marRight w:val="0"/>
                      <w:marTop w:val="0"/>
                      <w:marBottom w:val="0"/>
                      <w:divBdr>
                        <w:top w:val="none" w:sz="0" w:space="0" w:color="auto"/>
                        <w:left w:val="none" w:sz="0" w:space="0" w:color="auto"/>
                        <w:bottom w:val="none" w:sz="0" w:space="0" w:color="auto"/>
                        <w:right w:val="none" w:sz="0" w:space="0" w:color="auto"/>
                      </w:divBdr>
                    </w:div>
                  </w:divsChild>
                </w:div>
                <w:div w:id="1030956757">
                  <w:marLeft w:val="0"/>
                  <w:marRight w:val="0"/>
                  <w:marTop w:val="0"/>
                  <w:marBottom w:val="0"/>
                  <w:divBdr>
                    <w:top w:val="none" w:sz="0" w:space="0" w:color="auto"/>
                    <w:left w:val="none" w:sz="0" w:space="0" w:color="auto"/>
                    <w:bottom w:val="none" w:sz="0" w:space="0" w:color="auto"/>
                    <w:right w:val="none" w:sz="0" w:space="0" w:color="auto"/>
                  </w:divBdr>
                  <w:divsChild>
                    <w:div w:id="1217813198">
                      <w:marLeft w:val="0"/>
                      <w:marRight w:val="0"/>
                      <w:marTop w:val="0"/>
                      <w:marBottom w:val="0"/>
                      <w:divBdr>
                        <w:top w:val="none" w:sz="0" w:space="0" w:color="auto"/>
                        <w:left w:val="none" w:sz="0" w:space="0" w:color="auto"/>
                        <w:bottom w:val="none" w:sz="0" w:space="0" w:color="auto"/>
                        <w:right w:val="none" w:sz="0" w:space="0" w:color="auto"/>
                      </w:divBdr>
                    </w:div>
                  </w:divsChild>
                </w:div>
                <w:div w:id="577135401">
                  <w:marLeft w:val="0"/>
                  <w:marRight w:val="0"/>
                  <w:marTop w:val="0"/>
                  <w:marBottom w:val="0"/>
                  <w:divBdr>
                    <w:top w:val="none" w:sz="0" w:space="0" w:color="auto"/>
                    <w:left w:val="none" w:sz="0" w:space="0" w:color="auto"/>
                    <w:bottom w:val="none" w:sz="0" w:space="0" w:color="auto"/>
                    <w:right w:val="none" w:sz="0" w:space="0" w:color="auto"/>
                  </w:divBdr>
                  <w:divsChild>
                    <w:div w:id="1116020579">
                      <w:marLeft w:val="0"/>
                      <w:marRight w:val="0"/>
                      <w:marTop w:val="0"/>
                      <w:marBottom w:val="0"/>
                      <w:divBdr>
                        <w:top w:val="none" w:sz="0" w:space="0" w:color="auto"/>
                        <w:left w:val="none" w:sz="0" w:space="0" w:color="auto"/>
                        <w:bottom w:val="none" w:sz="0" w:space="0" w:color="auto"/>
                        <w:right w:val="none" w:sz="0" w:space="0" w:color="auto"/>
                      </w:divBdr>
                    </w:div>
                  </w:divsChild>
                </w:div>
                <w:div w:id="605036554">
                  <w:marLeft w:val="0"/>
                  <w:marRight w:val="0"/>
                  <w:marTop w:val="0"/>
                  <w:marBottom w:val="0"/>
                  <w:divBdr>
                    <w:top w:val="none" w:sz="0" w:space="0" w:color="auto"/>
                    <w:left w:val="none" w:sz="0" w:space="0" w:color="auto"/>
                    <w:bottom w:val="none" w:sz="0" w:space="0" w:color="auto"/>
                    <w:right w:val="none" w:sz="0" w:space="0" w:color="auto"/>
                  </w:divBdr>
                  <w:divsChild>
                    <w:div w:id="1201475940">
                      <w:marLeft w:val="0"/>
                      <w:marRight w:val="0"/>
                      <w:marTop w:val="0"/>
                      <w:marBottom w:val="0"/>
                      <w:divBdr>
                        <w:top w:val="none" w:sz="0" w:space="0" w:color="auto"/>
                        <w:left w:val="none" w:sz="0" w:space="0" w:color="auto"/>
                        <w:bottom w:val="none" w:sz="0" w:space="0" w:color="auto"/>
                        <w:right w:val="none" w:sz="0" w:space="0" w:color="auto"/>
                      </w:divBdr>
                    </w:div>
                  </w:divsChild>
                </w:div>
                <w:div w:id="929972636">
                  <w:marLeft w:val="0"/>
                  <w:marRight w:val="0"/>
                  <w:marTop w:val="0"/>
                  <w:marBottom w:val="0"/>
                  <w:divBdr>
                    <w:top w:val="none" w:sz="0" w:space="0" w:color="auto"/>
                    <w:left w:val="none" w:sz="0" w:space="0" w:color="auto"/>
                    <w:bottom w:val="none" w:sz="0" w:space="0" w:color="auto"/>
                    <w:right w:val="none" w:sz="0" w:space="0" w:color="auto"/>
                  </w:divBdr>
                  <w:divsChild>
                    <w:div w:id="996956958">
                      <w:marLeft w:val="0"/>
                      <w:marRight w:val="0"/>
                      <w:marTop w:val="0"/>
                      <w:marBottom w:val="0"/>
                      <w:divBdr>
                        <w:top w:val="none" w:sz="0" w:space="0" w:color="auto"/>
                        <w:left w:val="none" w:sz="0" w:space="0" w:color="auto"/>
                        <w:bottom w:val="none" w:sz="0" w:space="0" w:color="auto"/>
                        <w:right w:val="none" w:sz="0" w:space="0" w:color="auto"/>
                      </w:divBdr>
                    </w:div>
                  </w:divsChild>
                </w:div>
                <w:div w:id="800074168">
                  <w:marLeft w:val="0"/>
                  <w:marRight w:val="0"/>
                  <w:marTop w:val="0"/>
                  <w:marBottom w:val="0"/>
                  <w:divBdr>
                    <w:top w:val="none" w:sz="0" w:space="0" w:color="auto"/>
                    <w:left w:val="none" w:sz="0" w:space="0" w:color="auto"/>
                    <w:bottom w:val="none" w:sz="0" w:space="0" w:color="auto"/>
                    <w:right w:val="none" w:sz="0" w:space="0" w:color="auto"/>
                  </w:divBdr>
                  <w:divsChild>
                    <w:div w:id="708720822">
                      <w:marLeft w:val="0"/>
                      <w:marRight w:val="0"/>
                      <w:marTop w:val="0"/>
                      <w:marBottom w:val="0"/>
                      <w:divBdr>
                        <w:top w:val="none" w:sz="0" w:space="0" w:color="auto"/>
                        <w:left w:val="none" w:sz="0" w:space="0" w:color="auto"/>
                        <w:bottom w:val="none" w:sz="0" w:space="0" w:color="auto"/>
                        <w:right w:val="none" w:sz="0" w:space="0" w:color="auto"/>
                      </w:divBdr>
                    </w:div>
                  </w:divsChild>
                </w:div>
                <w:div w:id="1448281710">
                  <w:marLeft w:val="0"/>
                  <w:marRight w:val="0"/>
                  <w:marTop w:val="0"/>
                  <w:marBottom w:val="0"/>
                  <w:divBdr>
                    <w:top w:val="none" w:sz="0" w:space="0" w:color="auto"/>
                    <w:left w:val="none" w:sz="0" w:space="0" w:color="auto"/>
                    <w:bottom w:val="none" w:sz="0" w:space="0" w:color="auto"/>
                    <w:right w:val="none" w:sz="0" w:space="0" w:color="auto"/>
                  </w:divBdr>
                  <w:divsChild>
                    <w:div w:id="385109680">
                      <w:marLeft w:val="0"/>
                      <w:marRight w:val="0"/>
                      <w:marTop w:val="0"/>
                      <w:marBottom w:val="0"/>
                      <w:divBdr>
                        <w:top w:val="none" w:sz="0" w:space="0" w:color="auto"/>
                        <w:left w:val="none" w:sz="0" w:space="0" w:color="auto"/>
                        <w:bottom w:val="none" w:sz="0" w:space="0" w:color="auto"/>
                        <w:right w:val="none" w:sz="0" w:space="0" w:color="auto"/>
                      </w:divBdr>
                    </w:div>
                  </w:divsChild>
                </w:div>
                <w:div w:id="1650744035">
                  <w:marLeft w:val="0"/>
                  <w:marRight w:val="0"/>
                  <w:marTop w:val="0"/>
                  <w:marBottom w:val="0"/>
                  <w:divBdr>
                    <w:top w:val="none" w:sz="0" w:space="0" w:color="auto"/>
                    <w:left w:val="none" w:sz="0" w:space="0" w:color="auto"/>
                    <w:bottom w:val="none" w:sz="0" w:space="0" w:color="auto"/>
                    <w:right w:val="none" w:sz="0" w:space="0" w:color="auto"/>
                  </w:divBdr>
                  <w:divsChild>
                    <w:div w:id="7707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302492">
          <w:marLeft w:val="0"/>
          <w:marRight w:val="0"/>
          <w:marTop w:val="0"/>
          <w:marBottom w:val="0"/>
          <w:divBdr>
            <w:top w:val="none" w:sz="0" w:space="0" w:color="auto"/>
            <w:left w:val="none" w:sz="0" w:space="0" w:color="auto"/>
            <w:bottom w:val="none" w:sz="0" w:space="0" w:color="auto"/>
            <w:right w:val="none" w:sz="0" w:space="0" w:color="auto"/>
          </w:divBdr>
          <w:divsChild>
            <w:div w:id="645745537">
              <w:marLeft w:val="0"/>
              <w:marRight w:val="0"/>
              <w:marTop w:val="0"/>
              <w:marBottom w:val="0"/>
              <w:divBdr>
                <w:top w:val="none" w:sz="0" w:space="0" w:color="auto"/>
                <w:left w:val="none" w:sz="0" w:space="0" w:color="auto"/>
                <w:bottom w:val="none" w:sz="0" w:space="0" w:color="auto"/>
                <w:right w:val="none" w:sz="0" w:space="0" w:color="auto"/>
              </w:divBdr>
            </w:div>
            <w:div w:id="560866790">
              <w:marLeft w:val="0"/>
              <w:marRight w:val="0"/>
              <w:marTop w:val="0"/>
              <w:marBottom w:val="0"/>
              <w:divBdr>
                <w:top w:val="none" w:sz="0" w:space="0" w:color="auto"/>
                <w:left w:val="none" w:sz="0" w:space="0" w:color="auto"/>
                <w:bottom w:val="none" w:sz="0" w:space="0" w:color="auto"/>
                <w:right w:val="none" w:sz="0" w:space="0" w:color="auto"/>
              </w:divBdr>
            </w:div>
            <w:div w:id="1420328394">
              <w:marLeft w:val="0"/>
              <w:marRight w:val="0"/>
              <w:marTop w:val="0"/>
              <w:marBottom w:val="0"/>
              <w:divBdr>
                <w:top w:val="none" w:sz="0" w:space="0" w:color="auto"/>
                <w:left w:val="none" w:sz="0" w:space="0" w:color="auto"/>
                <w:bottom w:val="none" w:sz="0" w:space="0" w:color="auto"/>
                <w:right w:val="none" w:sz="0" w:space="0" w:color="auto"/>
              </w:divBdr>
            </w:div>
            <w:div w:id="2073842260">
              <w:marLeft w:val="0"/>
              <w:marRight w:val="0"/>
              <w:marTop w:val="0"/>
              <w:marBottom w:val="0"/>
              <w:divBdr>
                <w:top w:val="none" w:sz="0" w:space="0" w:color="auto"/>
                <w:left w:val="none" w:sz="0" w:space="0" w:color="auto"/>
                <w:bottom w:val="none" w:sz="0" w:space="0" w:color="auto"/>
                <w:right w:val="none" w:sz="0" w:space="0" w:color="auto"/>
              </w:divBdr>
            </w:div>
            <w:div w:id="1462186186">
              <w:marLeft w:val="0"/>
              <w:marRight w:val="0"/>
              <w:marTop w:val="0"/>
              <w:marBottom w:val="0"/>
              <w:divBdr>
                <w:top w:val="none" w:sz="0" w:space="0" w:color="auto"/>
                <w:left w:val="none" w:sz="0" w:space="0" w:color="auto"/>
                <w:bottom w:val="none" w:sz="0" w:space="0" w:color="auto"/>
                <w:right w:val="none" w:sz="0" w:space="0" w:color="auto"/>
              </w:divBdr>
            </w:div>
            <w:div w:id="1392076787">
              <w:marLeft w:val="0"/>
              <w:marRight w:val="0"/>
              <w:marTop w:val="0"/>
              <w:marBottom w:val="0"/>
              <w:divBdr>
                <w:top w:val="none" w:sz="0" w:space="0" w:color="auto"/>
                <w:left w:val="none" w:sz="0" w:space="0" w:color="auto"/>
                <w:bottom w:val="none" w:sz="0" w:space="0" w:color="auto"/>
                <w:right w:val="none" w:sz="0" w:space="0" w:color="auto"/>
              </w:divBdr>
            </w:div>
            <w:div w:id="24409255">
              <w:marLeft w:val="0"/>
              <w:marRight w:val="0"/>
              <w:marTop w:val="0"/>
              <w:marBottom w:val="0"/>
              <w:divBdr>
                <w:top w:val="none" w:sz="0" w:space="0" w:color="auto"/>
                <w:left w:val="none" w:sz="0" w:space="0" w:color="auto"/>
                <w:bottom w:val="none" w:sz="0" w:space="0" w:color="auto"/>
                <w:right w:val="none" w:sz="0" w:space="0" w:color="auto"/>
              </w:divBdr>
            </w:div>
            <w:div w:id="143277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938142">
      <w:bodyDiv w:val="1"/>
      <w:marLeft w:val="0"/>
      <w:marRight w:val="0"/>
      <w:marTop w:val="0"/>
      <w:marBottom w:val="0"/>
      <w:divBdr>
        <w:top w:val="none" w:sz="0" w:space="0" w:color="auto"/>
        <w:left w:val="none" w:sz="0" w:space="0" w:color="auto"/>
        <w:bottom w:val="none" w:sz="0" w:space="0" w:color="auto"/>
        <w:right w:val="none" w:sz="0" w:space="0" w:color="auto"/>
      </w:divBdr>
      <w:divsChild>
        <w:div w:id="20906115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fdi.de" TargetMode="External"/><Relationship Id="rId13" Type="http://schemas.openxmlformats.org/officeDocument/2006/relationships/hyperlink" Target="mailto:climatepolicyatlas@nfdi4energy.org" TargetMode="External"/><Relationship Id="rId18" Type="http://schemas.openxmlformats.org/officeDocument/2006/relationships/hyperlink" Target="https://www.agen-rs.si/documents/10926/103769/Seznam_izbranih_2017/dd267de6-fa76-4f2b-89a2-3b98f0493ac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oi.org/https://doi.org/10.3917/scpo.halpe.2014.01.0281" TargetMode="External"/><Relationship Id="rId7" Type="http://schemas.openxmlformats.org/officeDocument/2006/relationships/endnotes" Target="endnotes.xml"/><Relationship Id="rId12" Type="http://schemas.openxmlformats.org/officeDocument/2006/relationships/hyperlink" Target="https://github.com/OpenEnergyPlatform/ClimateEnergyPolicyOntology" TargetMode="External"/><Relationship Id="rId17" Type="http://schemas.openxmlformats.org/officeDocument/2006/relationships/hyperlink" Target="https://carbonpricingdashboard.worldbank.org/about"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oecd.org/en/publications/consumption-tax-trends-2024_dcd4dd36-en/support-materials.html" TargetMode="External"/><Relationship Id="rId20" Type="http://schemas.openxmlformats.org/officeDocument/2006/relationships/hyperlink" Target="https://www.boe.es/diario_boe/txt.php?id=BOE-A-2017-899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4.0/"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aures2project.eu/" TargetMode="External"/><Relationship Id="rId23" Type="http://schemas.openxmlformats.org/officeDocument/2006/relationships/footer" Target="footer1.xml"/><Relationship Id="rId10" Type="http://schemas.openxmlformats.org/officeDocument/2006/relationships/image" Target="media/image2.svg"/><Relationship Id="rId19" Type="http://schemas.openxmlformats.org/officeDocument/2006/relationships/hyperlink" Target="https://www.agen-rs.si/documents/10926/159489/Dec2018_seznam_izbranih/817265b6-a984-43f6-b924-d3188ec79bc3"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franceterritoiresolaire.fr/"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uroparl.europa.eu/RegData/etudes/BRIE/2015/568329/EPRS_BRI(2015)568329_EN.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nfdi4energy">
      <a:dk1>
        <a:sysClr val="windowText" lastClr="000000"/>
      </a:dk1>
      <a:lt1>
        <a:sysClr val="window" lastClr="FFFFFF"/>
      </a:lt1>
      <a:dk2>
        <a:srgbClr val="44546A"/>
      </a:dk2>
      <a:lt2>
        <a:srgbClr val="E7E6E6"/>
      </a:lt2>
      <a:accent1>
        <a:srgbClr val="4BA0AF"/>
      </a:accent1>
      <a:accent2>
        <a:srgbClr val="D7006E"/>
      </a:accent2>
      <a:accent3>
        <a:srgbClr val="F59678"/>
      </a:accent3>
      <a:accent4>
        <a:srgbClr val="A51932"/>
      </a:accent4>
      <a:accent5>
        <a:srgbClr val="055F82"/>
      </a:accent5>
      <a:accent6>
        <a:srgbClr val="000000"/>
      </a:accent6>
      <a:hlink>
        <a:srgbClr val="000000"/>
      </a:hlink>
      <a:folHlink>
        <a:srgbClr val="000000"/>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60D8C-2918-4B9C-ADE2-C052FD432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12319</Words>
  <Characters>70222</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Deliverable XY</vt:lpstr>
    </vt:vector>
  </TitlesOfParts>
  <Company/>
  <LinksUpToDate>false</LinksUpToDate>
  <CharactersWithSpaces>82377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 XY</dc:title>
  <dc:subject/>
  <dc:creator>xx.xx.20xx</dc:creator>
  <cp:keywords/>
  <dc:description/>
  <cp:lastModifiedBy>Weko, Silvia</cp:lastModifiedBy>
  <cp:revision>131</cp:revision>
  <dcterms:created xsi:type="dcterms:W3CDTF">2026-01-21T17:03:00Z</dcterms:created>
  <dcterms:modified xsi:type="dcterms:W3CDTF">2026-01-30T15:19:00Z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97a062ef79750dc7c9b7be13eeb1d4d8571218efc4726807c1bf7bb7913dc929</vt:lpwstr>
  </property>
  <property fmtid="{D5CDD505-2E9C-101B-9397-08002B2CF9AE}" pid="3" name="ZOTERO_PREF_1">
    <vt:lpwstr>&lt;data data-version="3" zotero-version="6.0.36"&gt;&lt;session id="TZXEBhAi"/&gt;&lt;style id="http://www.zotero.org/styles/ieee" locale="en-US" hasBibliography="1" bibliographyStyleHasBeenSet="1"/&gt;&lt;prefs&gt;&lt;pref name="fieldType" value="Field"/&gt;&lt;/prefs&gt;&lt;/data&gt;</vt:lpwstr>
  </property>
</Properties>
</file>